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DD5" w:rsidRDefault="001B0DD5" w:rsidP="001B0DD5">
      <w:pPr>
        <w:widowControl w:val="0"/>
        <w:adjustRightInd w:val="0"/>
        <w:snapToGrid w:val="0"/>
        <w:spacing w:before="200" w:line="288" w:lineRule="auto"/>
        <w:jc w:val="center"/>
        <w:outlineLvl w:val="1"/>
        <w:rPr>
          <w:rFonts w:ascii="Times New Roman" w:hAnsi="Times New Roman" w:cs="Times New Roman"/>
          <w:b/>
          <w:kern w:val="2"/>
          <w:sz w:val="24"/>
          <w:szCs w:val="24"/>
        </w:rPr>
      </w:pPr>
      <w:r>
        <w:rPr>
          <w:rFonts w:ascii="Times New Roman" w:eastAsia="仿宋_GB2312" w:hAnsi="Times New Roman" w:cs="Times New Roman"/>
          <w:b/>
          <w:kern w:val="2"/>
          <w:sz w:val="24"/>
          <w:szCs w:val="24"/>
        </w:rPr>
        <w:t>Detailed Rules of Fiberboard Futures of Dalian Commodity Exchange</w:t>
      </w:r>
    </w:p>
    <w:p w:rsidR="001B0DD5" w:rsidRDefault="001B0DD5" w:rsidP="001B0DD5">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 General Provisions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Detailed Rules of Fiberboard Futures of Dalian Commodity Exchange (the "</w:t>
      </w:r>
      <w:r>
        <w:rPr>
          <w:rFonts w:ascii="Times New Roman" w:hAnsi="Times New Roman" w:cs="Times New Roman"/>
          <w:b/>
          <w:kern w:val="2"/>
          <w:sz w:val="24"/>
          <w:szCs w:val="24"/>
        </w:rPr>
        <w:t>Detailed Rules</w:t>
      </w:r>
      <w:r>
        <w:rPr>
          <w:rFonts w:ascii="Times New Roman" w:hAnsi="Times New Roman" w:cs="Times New Roman"/>
          <w:kern w:val="2"/>
          <w:sz w:val="24"/>
          <w:szCs w:val="24"/>
        </w:rPr>
        <w:t xml:space="preserve">") are formulated pursuant to the </w:t>
      </w:r>
      <w:r>
        <w:rPr>
          <w:rFonts w:ascii="Times New Roman" w:hAnsi="Times New Roman" w:cs="Times New Roman"/>
          <w:i/>
          <w:kern w:val="2"/>
          <w:sz w:val="24"/>
          <w:szCs w:val="24"/>
        </w:rPr>
        <w:t>Trading Rules of Dalian Commodity Exchange</w:t>
      </w:r>
      <w:r>
        <w:rPr>
          <w:rFonts w:ascii="Times New Roman" w:hAnsi="Times New Roman" w:cs="Times New Roman"/>
          <w:kern w:val="2"/>
          <w:sz w:val="24"/>
          <w:szCs w:val="24"/>
        </w:rPr>
        <w:t xml:space="preserve"> and the </w:t>
      </w:r>
      <w:r>
        <w:rPr>
          <w:rFonts w:ascii="Times New Roman" w:hAnsi="Times New Roman" w:cs="Times New Roman"/>
          <w:i/>
          <w:kern w:val="2"/>
          <w:sz w:val="24"/>
          <w:szCs w:val="24"/>
        </w:rPr>
        <w:t>Fiberboard Futures Contract of Dalian Commodity Exchange</w:t>
      </w:r>
      <w:r>
        <w:rPr>
          <w:rFonts w:ascii="Times New Roman" w:hAnsi="Times New Roman" w:cs="Times New Roman"/>
          <w:kern w:val="2"/>
          <w:sz w:val="24"/>
          <w:szCs w:val="24"/>
        </w:rPr>
        <w:t xml:space="preserve"> for the purpose of standardizing the trading of fiberboard futures contracts.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Dalian Commodity Exchange (the "</w:t>
      </w:r>
      <w:r>
        <w:rPr>
          <w:rFonts w:ascii="Times New Roman" w:hAnsi="Times New Roman" w:cs="Times New Roman"/>
          <w:b/>
          <w:kern w:val="2"/>
          <w:sz w:val="24"/>
          <w:szCs w:val="24"/>
        </w:rPr>
        <w:t>Exchange</w:t>
      </w:r>
      <w:r>
        <w:rPr>
          <w:rFonts w:ascii="Times New Roman" w:hAnsi="Times New Roman" w:cs="Times New Roman"/>
          <w:kern w:val="2"/>
          <w:sz w:val="24"/>
          <w:szCs w:val="24"/>
        </w:rPr>
        <w:t>"), its Members, the clients, the designated delivery warehouses, the designated quality inspection agencies, the designated futures margin depositary banks and other participants in the futures market shall comply with the Detailed Rules.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it is not provided in the Detailed Rules, the relevant rules of the Exchange shall apply.</w:t>
      </w:r>
    </w:p>
    <w:p w:rsidR="001B0DD5" w:rsidRDefault="001B0DD5" w:rsidP="001B0DD5">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II Principle Terms of the Contract and Relevant Parameters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quality standards for and the packaging requirements of deliverable standard products under the fiberboard futures contract are detailed in the </w:t>
      </w:r>
      <w:r>
        <w:rPr>
          <w:rFonts w:ascii="Times New Roman" w:hAnsi="Times New Roman" w:cs="Times New Roman"/>
          <w:i/>
          <w:kern w:val="2"/>
          <w:sz w:val="24"/>
          <w:szCs w:val="24"/>
        </w:rPr>
        <w:t>Fiberboard Delivery Quality Standards of Dalian Commodity Exchange (F/DCE FB001-2019)</w:t>
      </w:r>
      <w:r>
        <w:rPr>
          <w:rFonts w:ascii="Times New Roman" w:hAnsi="Times New Roman" w:cs="Times New Roman"/>
          <w:kern w:val="2"/>
          <w:sz w:val="24"/>
          <w:szCs w:val="24"/>
        </w:rPr>
        <w:t xml:space="preserve"> as Annex 1 attached hereto.</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fiberboard futures contract shall take the form of physical delivery.</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delivery warehouses designated for fiberboard shall be divided into the benchmark delivery warehouses and the non-benchmark delivery warehouses (detailed in the</w:t>
      </w:r>
      <w:r>
        <w:rPr>
          <w:rFonts w:ascii="Times New Roman" w:hAnsi="Times New Roman" w:cs="Times New Roman"/>
          <w:i/>
          <w:kern w:val="2"/>
          <w:sz w:val="24"/>
          <w:szCs w:val="24"/>
        </w:rPr>
        <w:t xml:space="preserve"> List of Delivery Warehouses Designated for Fiberboard of Dalian Commodity Exchange</w:t>
      </w:r>
      <w:r>
        <w:rPr>
          <w:rFonts w:ascii="Times New Roman" w:hAnsi="Times New Roman" w:cs="Times New Roman"/>
          <w:kern w:val="2"/>
          <w:sz w:val="24"/>
          <w:szCs w:val="24"/>
        </w:rPr>
        <w:t xml:space="preserve"> as Annex 2 attached hereto), and may be adjusted by the Exchange as the case may be.</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contract months of the fiberboard futures contract are January, February, March, April, May, June, July, August, September, October, November and December.</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trading unit of the fiberboard futures contract is </w:t>
      </w:r>
      <w:r>
        <w:rPr>
          <w:rFonts w:ascii="Times New Roman" w:hAnsi="Times New Roman" w:cs="Times New Roman"/>
          <w:color w:val="333333"/>
          <w:sz w:val="24"/>
          <w:szCs w:val="24"/>
        </w:rPr>
        <w:t>10</w:t>
      </w:r>
      <w:r>
        <w:rPr>
          <w:rFonts w:ascii="Times New Roman" w:hAnsi="Times New Roman" w:cs="Times New Roman"/>
          <w:kern w:val="2"/>
          <w:sz w:val="24"/>
          <w:szCs w:val="24"/>
        </w:rPr>
        <w:t>CubicMeters/ Lot.</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price quote unit of the fiberboard futures contract is CNY/Cubic Meter.</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minimum tick size of the fiberboard futures contract is </w:t>
      </w:r>
      <w:r>
        <w:rPr>
          <w:rFonts w:ascii="Times New Roman" w:hAnsi="Times New Roman" w:cs="Times New Roman"/>
          <w:color w:val="333333"/>
          <w:sz w:val="24"/>
          <w:szCs w:val="24"/>
        </w:rPr>
        <w:t>0.5 CNY/</w:t>
      </w:r>
      <w:r>
        <w:rPr>
          <w:rFonts w:ascii="Times New Roman" w:hAnsi="Times New Roman" w:cs="Times New Roman"/>
          <w:kern w:val="2"/>
          <w:sz w:val="24"/>
          <w:szCs w:val="24"/>
        </w:rPr>
        <w:t>Cubic Meter.</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maximum quantity of orders placed each time for the fiberboard </w:t>
      </w:r>
      <w:r>
        <w:rPr>
          <w:rFonts w:ascii="Times New Roman" w:hAnsi="Times New Roman" w:cs="Times New Roman"/>
          <w:kern w:val="2"/>
          <w:sz w:val="24"/>
          <w:szCs w:val="24"/>
        </w:rPr>
        <w:lastRenderedPageBreak/>
        <w:t>futures contract shall be one thousand (1,000) lots.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standard of trading margins, price limit range and position limit under the fiberboard futures contract shall be subject to the relevant provisions of the </w:t>
      </w:r>
      <w:r>
        <w:rPr>
          <w:rFonts w:ascii="Times New Roman" w:hAnsi="Times New Roman" w:cs="Times New Roman"/>
          <w:i/>
          <w:kern w:val="2"/>
          <w:sz w:val="24"/>
          <w:szCs w:val="24"/>
        </w:rPr>
        <w:t>Measures for Risk Management of Dalian Commodity Exchange</w:t>
      </w:r>
      <w:r>
        <w:rPr>
          <w:rFonts w:ascii="Times New Roman" w:hAnsi="Times New Roman" w:cs="Times New Roman"/>
          <w:kern w:val="2"/>
          <w:sz w:val="24"/>
          <w:szCs w:val="24"/>
        </w:rPr>
        <w:t xml:space="preserve">. </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last trading day of the fiberboard futures contract is the tenth trading day of the contract month.</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last delivery day of the fiberboard futures contract is the third trading day after the last trading day.</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ticker symbol of the fiberboard futures contract is FB.</w:t>
      </w:r>
    </w:p>
    <w:p w:rsidR="001B0DD5" w:rsidRDefault="001B0DD5" w:rsidP="001B0DD5">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III Delivery and Clearing</w:t>
      </w:r>
    </w:p>
    <w:p w:rsidR="001B0DD5" w:rsidRDefault="001B0DD5" w:rsidP="001B0DD5">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Section I General Provisions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fiberboard futures contract applies the exchange of futures for physicals (the "</w:t>
      </w:r>
      <w:r>
        <w:rPr>
          <w:rFonts w:ascii="Times New Roman" w:hAnsi="Times New Roman" w:cs="Times New Roman"/>
          <w:b/>
          <w:kern w:val="2"/>
          <w:sz w:val="24"/>
          <w:szCs w:val="24"/>
        </w:rPr>
        <w:t>EFP</w:t>
      </w:r>
      <w:r>
        <w:rPr>
          <w:rFonts w:ascii="Times New Roman" w:hAnsi="Times New Roman" w:cs="Times New Roman"/>
          <w:kern w:val="2"/>
          <w:sz w:val="24"/>
          <w:szCs w:val="24"/>
        </w:rPr>
        <w:t xml:space="preserve">"), rolling delivery and one-off delivery, the detailed procedures of which are provided in the Detailed Rules and the relevant provisions of the </w:t>
      </w:r>
      <w:r>
        <w:rPr>
          <w:rFonts w:ascii="Times New Roman" w:hAnsi="Times New Roman" w:cs="Times New Roman"/>
          <w:i/>
          <w:kern w:val="2"/>
          <w:sz w:val="24"/>
          <w:szCs w:val="24"/>
        </w:rPr>
        <w:t>Measures for Delivery Management of Dalian Commodity Exchange</w:t>
      </w:r>
      <w:r>
        <w:rPr>
          <w:rFonts w:ascii="Times New Roman" w:hAnsi="Times New Roman" w:cs="Times New Roman"/>
          <w:kern w:val="2"/>
          <w:sz w:val="24"/>
          <w:szCs w:val="24"/>
        </w:rPr>
        <w:t xml:space="preserve"> and the </w:t>
      </w:r>
      <w:r>
        <w:rPr>
          <w:rFonts w:ascii="Times New Roman" w:hAnsi="Times New Roman" w:cs="Times New Roman"/>
          <w:i/>
          <w:kern w:val="2"/>
          <w:sz w:val="24"/>
          <w:szCs w:val="24"/>
        </w:rPr>
        <w:t>Measures for Clearing Management of Dalian Commodity Exchange</w:t>
      </w:r>
      <w:r>
        <w:rPr>
          <w:rFonts w:ascii="Times New Roman" w:hAnsi="Times New Roman" w:cs="Times New Roman"/>
          <w:kern w:val="2"/>
          <w:sz w:val="24"/>
          <w:szCs w:val="24"/>
        </w:rPr>
        <w:t xml:space="preserve">. </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In case of rolling delivery, the buyer which declares the delivery intent may choose to accept the allocation, or declare two delivery intents at most, including the first intent and the second intent.</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After the market close of the matching day, the Exchange shall match the buyer and seller which have declared delivery intents through the system. The Exchange will first determine the order of the buyers to participate in the matching under the principle of the "priority in intent declaration time", if any buyer chooses to accept the allocation, the Exchange will aggregate the quantities of standard warehouse receipts declared by the seller for delivery in unit of designated delivery warehouse, and then match the buyers with the designated delivery warehouses under the principle of "the minimum matching quantity" to determine the designated delivery warehouses corresponding to the buyer</w:t>
      </w:r>
      <w:r>
        <w:rPr>
          <w:rFonts w:ascii="Times New Roman" w:hAnsi="Times New Roman" w:cs="Times New Roman"/>
          <w:color w:val="000000"/>
          <w:kern w:val="2"/>
          <w:sz w:val="24"/>
          <w:szCs w:val="24"/>
        </w:rPr>
        <w:t>'</w:t>
      </w:r>
      <w:r>
        <w:rPr>
          <w:rFonts w:ascii="Times New Roman" w:hAnsi="Times New Roman" w:cs="Times New Roman"/>
          <w:kern w:val="2"/>
          <w:sz w:val="24"/>
          <w:szCs w:val="24"/>
        </w:rPr>
        <w:t xml:space="preserve">s delivery and the quantities to be delivered in such warehouse; if the buyer does not accept the allocation, its first intent will be first considered, and its second intent will be considered only when its first intent is not satisfied in full or in part. Thereafter, the Exchange will carry out matching between the buyers that have been matched with designated delivery warehouses and the sellers that have applied for delivery and hold the standard warehouse receipts of </w:t>
      </w:r>
      <w:r>
        <w:rPr>
          <w:rFonts w:ascii="Times New Roman" w:hAnsi="Times New Roman" w:cs="Times New Roman"/>
          <w:kern w:val="2"/>
          <w:sz w:val="24"/>
          <w:szCs w:val="24"/>
        </w:rPr>
        <w:lastRenderedPageBreak/>
        <w:t xml:space="preserve">such designated delivery warehouses under the principle of "the minimum matching quantity" to determine the corresponding buyers and sellers for the delivery. Once the matching result is determined, it cannot be modified by the buyer or the seller. Intents of buyers or sellers that have not been successfully matched will be deemed invalid by the system after market close on the then-current day. </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fiberboard futures contract delivery unit shall be ten (10) cubic meters.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b/>
          <w:kern w:val="2"/>
          <w:sz w:val="24"/>
          <w:szCs w:val="24"/>
        </w:rPr>
      </w:pPr>
      <w:r>
        <w:rPr>
          <w:rFonts w:ascii="Times New Roman" w:hAnsi="Times New Roman" w:cs="Times New Roman"/>
          <w:kern w:val="2"/>
          <w:sz w:val="24"/>
          <w:szCs w:val="24"/>
        </w:rPr>
        <w:t>Standard warehouse receipt of fiberboard can be categorized into standard storage warehouse receipt and standard factory warehouse receipt.</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With respect to products manufactured by continuous press machine and the manufacturer of which is qualified as a factory warehouse of the Exchange, if such products participate in storage warehouse delivery and the owner is able to provide the original production certificate issued by the factory warehouse and other materials required by the Exchange, which are also recognized by the storage warehouse, the premium/discount of such products is "CNY zero (0) per cubic meter"; if such products are to be delivered at such factory warehouse, the premium/discount of such products is "CNY zero (0) per cubic meter".</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Other than the circumstances stated above, the premium/discount of such products is "CNY negative two hundred and fifty (-250) per cubic meter".</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premiums/discounts of products stipulated in this Article 20 shall be settled between the owner and the designated delivery warehouse.</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Fiberboards shall be packed in bundles in accordance with practice of the manufacturer, and each bundle of each batch shall have the same quantity of fiberboards, and the bundles shall be covered by moisture-proof plastic layer. Upon delivery, they shall be loaded in the warehouse in bundles, and fiberboards falling short of one (1) bundle shall be packed in accordance with the delivery quality standards, and the quantity of fiberboards in such bundle can be different from that in other bundles of the same batch. The total delivery quantity shall not be less than the total quantity of the commodities as specified in the corresponding standard warehouse receipts. </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prices of the packages of the fiberboard shall be included in the fiberboard futures contract price.</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dedicated VAT invoice shall be issued for delivery of fiberboards.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delivery commissions, the sampling and inspection fees, the storage </w:t>
      </w:r>
      <w:r>
        <w:rPr>
          <w:rFonts w:ascii="Times New Roman" w:hAnsi="Times New Roman" w:cs="Times New Roman"/>
          <w:kern w:val="2"/>
          <w:sz w:val="24"/>
          <w:szCs w:val="24"/>
        </w:rPr>
        <w:lastRenderedPageBreak/>
        <w:t>fees and other fees of Fiberboard shall be separately published by the Exchange and no dissipation fees will be charged.</w:t>
      </w:r>
    </w:p>
    <w:p w:rsidR="001B0DD5" w:rsidRDefault="001B0DD5" w:rsidP="001B0DD5">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Section II Standard Warehouse Receipt Delivery</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w:t>
      </w:r>
      <w:r>
        <w:rPr>
          <w:rFonts w:ascii="Times New Roman" w:hAnsi="Times New Roman" w:cs="Times New Roman"/>
          <w:i/>
          <w:kern w:val="2"/>
          <w:sz w:val="24"/>
          <w:szCs w:val="24"/>
        </w:rPr>
        <w:t>Measures for Standard Warehouse Receipt Management of Dalian Commodity Exchange</w:t>
      </w:r>
      <w:r>
        <w:rPr>
          <w:rFonts w:ascii="Times New Roman" w:hAnsi="Times New Roman" w:cs="Times New Roman"/>
          <w:kern w:val="2"/>
          <w:sz w:val="24"/>
          <w:szCs w:val="24"/>
        </w:rPr>
        <w:t xml:space="preserve"> shall apply to the generation, circulation and deregistration of the standard warehouse receipts, if not provided in the Detailed Rules.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A Member shall pay the notice of intent to deliver earnest money to the Exchange as per the standard of CNY five (5) per cubic meter when it handles the notice of intent to deliver.</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owner which has fully completed the notice of intent to deliver shall, before consignment, notify the designated delivery warehouse of the vehicle or vessel number, products, quantity, arrival time and other information, and the designated delivery warehouse shall reasonably arrange for receipt and loading-in of the commodities.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designated delivery warehouse shall engage an inspection agency designated by the Exchange to carry out the quality inspection of the commodities to be loaded in the warehouse. The inspection costs shall be borne by the owner and shall be forwarded by the designated delivery warehouse.</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batch grouping with respect to the quality inspection of the fiberboard shall be carried out as per the same manufacturer, the same specification and the manufacturing date within three (3) consecutive calendar days (inclusive of the third calendar day), with each batch being two hundred (200) cubic meters. The inspection shall be carried out in more than one (1) batch for those of more than two hundred (200) cubic meters, or in one (1) batch for those less than two hundred (200) cubic meters.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quality inspection agency designated by the Exchange shall, after its completion of the quality inspection of the fiberboard loaded in the warehouse, issue one (1) original and three (3) duplicate inspection reports; and the original shall be submitted to the designated delivery warehouse and two (2) of the duplicates shall be respectively submitted to the Exchange and the owner.</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designated delivery warehouse shall carry out, subject to the applicable provisions of the Exchange, inspection of the manufacturer, batch number, quality, packaging and the relevant materials and certificates of the fiberboard which has been loaded in the warehouse.</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lastRenderedPageBreak/>
        <w:t>The receiving and consigning quantity of the fiberboard shall be subject to the checking by the designated delivery warehouse.</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manufacturing date of fiberboards cannot be earlier than the sixtieth (60</w:t>
      </w:r>
      <w:r>
        <w:rPr>
          <w:rFonts w:ascii="Times New Roman" w:hAnsi="Times New Roman" w:cs="Times New Roman"/>
          <w:kern w:val="2"/>
          <w:sz w:val="24"/>
          <w:szCs w:val="24"/>
          <w:vertAlign w:val="superscript"/>
        </w:rPr>
        <w:t>th</w:t>
      </w:r>
      <w:r>
        <w:rPr>
          <w:rFonts w:ascii="Times New Roman" w:hAnsi="Times New Roman" w:cs="Times New Roman"/>
          <w:kern w:val="2"/>
          <w:sz w:val="24"/>
          <w:szCs w:val="24"/>
        </w:rPr>
        <w:t>) calendar day prior to the application date for registration of the standard warehouse receipts.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deregistration of the standard warehouse receipt shall be carried out against the standard warehouse receipts of the fiberboard prior to the last trading day of each March and September.</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When the fiberboards are loaded out of the storage warehouse, the owner which holds the</w:t>
      </w:r>
      <w:r>
        <w:rPr>
          <w:rFonts w:ascii="Times New Roman" w:hAnsi="Times New Roman" w:cs="Times New Roman"/>
          <w:i/>
          <w:kern w:val="2"/>
          <w:sz w:val="24"/>
          <w:szCs w:val="24"/>
        </w:rPr>
        <w:t xml:space="preserve"> Notice to Load Out</w:t>
      </w:r>
      <w:r>
        <w:rPr>
          <w:rFonts w:ascii="Times New Roman" w:hAnsi="Times New Roman" w:cs="Times New Roman"/>
          <w:kern w:val="2"/>
          <w:sz w:val="24"/>
          <w:szCs w:val="24"/>
        </w:rPr>
        <w:t xml:space="preserve"> or load-out password shall contact the designated delivery warehouse for the loading-out matters three (3) calendar days prior to the actual pickup date, and shall pick up the commodities at the designated delivery warehouse within ten (10) working days (inclusive of the tenth working day) after the deregistration of the standard warehouse receipt.</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If the owner has any objection over the quality of the commodities to be loaded out of the warehouse, it shall firstly negotiate with the warehouse for settlement. If the negotiation fails, the owner shall, within ten (10) working days after the standard warehouse receipt is deregistered and if the commodities have been delivered but have not been loaded out of the warehouse, file to the Exchange in writing an application for re-inspection. Such application shall indicate the name of the warehouse, the quantity, the quality </w:t>
      </w:r>
      <w:r>
        <w:rPr>
          <w:rFonts w:ascii="Times New Roman" w:hAnsi="Times New Roman" w:cs="Times New Roman" w:hint="eastAsia"/>
          <w:kern w:val="2"/>
          <w:sz w:val="24"/>
          <w:szCs w:val="24"/>
        </w:rPr>
        <w:t>index</w:t>
      </w:r>
      <w:r>
        <w:rPr>
          <w:rFonts w:ascii="Times New Roman" w:hAnsi="Times New Roman" w:cs="Times New Roman"/>
          <w:kern w:val="2"/>
          <w:sz w:val="24"/>
          <w:szCs w:val="24"/>
        </w:rPr>
        <w:t>, the manufacturers, the production date and the stack location number of the commodities</w:t>
      </w:r>
      <w:r>
        <w:rPr>
          <w:sz w:val="24"/>
          <w:szCs w:val="24"/>
        </w:rPr>
        <w:t xml:space="preserve"> </w:t>
      </w:r>
      <w:r>
        <w:rPr>
          <w:rFonts w:ascii="Times New Roman" w:hAnsi="Times New Roman" w:cs="Times New Roman"/>
          <w:kern w:val="2"/>
          <w:sz w:val="24"/>
          <w:szCs w:val="24"/>
        </w:rPr>
        <w:t xml:space="preserve">to be re-inspected, </w:t>
      </w:r>
      <w:r>
        <w:rPr>
          <w:rFonts w:ascii="Times New Roman" w:hAnsi="Times New Roman" w:cs="Times New Roman"/>
          <w:sz w:val="24"/>
          <w:szCs w:val="24"/>
        </w:rPr>
        <w:t xml:space="preserve"> leave the contact information and be affixed with the official seal of the owner</w:t>
      </w:r>
      <w:r>
        <w:rPr>
          <w:rFonts w:ascii="Times New Roman" w:hAnsi="Times New Roman" w:cs="Times New Roman"/>
          <w:kern w:val="2"/>
          <w:sz w:val="24"/>
          <w:szCs w:val="24"/>
        </w:rPr>
        <w:t xml:space="preserve">. If no application is filed in the prescribed manner within the prescribed period, it will be deemed that the owner has no objection over the quality of the commodities that are being loaded out of the warehouse. The Exchange shall entrust a designated quality inspection agency to carry out the re-inspection, and the re-inspection result shall be the basis for any dispute settlement. The re-inspection costs shall be advanced by the owner. </w:t>
      </w:r>
      <w:r>
        <w:rPr>
          <w:rFonts w:ascii="Times New Roman" w:hAnsi="Times New Roman" w:cs="Times New Roman" w:hint="eastAsia"/>
          <w:sz w:val="24"/>
          <w:szCs w:val="24"/>
        </w:rPr>
        <w:t>I</w:t>
      </w:r>
      <w:r>
        <w:rPr>
          <w:rFonts w:ascii="Times New Roman" w:hAnsi="Times New Roman" w:cs="Times New Roman"/>
          <w:sz w:val="24"/>
          <w:szCs w:val="24"/>
        </w:rPr>
        <w:t>f the re-inspection result is consistent with the delivery quality standards</w:t>
      </w:r>
      <w:r>
        <w:rPr>
          <w:rFonts w:ascii="Times New Roman" w:hAnsi="Times New Roman" w:cs="Times New Roman" w:hint="eastAsia"/>
          <w:sz w:val="24"/>
          <w:szCs w:val="24"/>
        </w:rPr>
        <w:t>, t</w:t>
      </w:r>
      <w:r>
        <w:rPr>
          <w:rFonts w:ascii="Times New Roman" w:hAnsi="Times New Roman" w:cs="Times New Roman"/>
          <w:sz w:val="24"/>
          <w:szCs w:val="24"/>
        </w:rPr>
        <w:t>he relevant fees (including but not limited to the inspection fees, traveling expenses</w:t>
      </w:r>
      <w:r>
        <w:rPr>
          <w:rFonts w:ascii="Times New Roman" w:hAnsi="Times New Roman" w:cs="Times New Roman" w:hint="eastAsia"/>
          <w:sz w:val="24"/>
          <w:szCs w:val="24"/>
        </w:rPr>
        <w:t>,</w:t>
      </w:r>
      <w:r>
        <w:rPr>
          <w:rFonts w:ascii="Times New Roman" w:hAnsi="Times New Roman" w:cs="Times New Roman"/>
          <w:sz w:val="24"/>
          <w:szCs w:val="24"/>
        </w:rPr>
        <w:t xml:space="preserve"> storage fees</w:t>
      </w:r>
      <w:r>
        <w:rPr>
          <w:rFonts w:ascii="Times New Roman" w:hAnsi="Times New Roman" w:cs="Times New Roman" w:hint="eastAsia"/>
          <w:sz w:val="24"/>
          <w:szCs w:val="24"/>
        </w:rPr>
        <w:t xml:space="preserve">, </w:t>
      </w:r>
      <w:r>
        <w:rPr>
          <w:rFonts w:ascii="Times New Roman" w:hAnsi="Times New Roman" w:cs="Times New Roman"/>
          <w:sz w:val="24"/>
          <w:szCs w:val="24"/>
        </w:rPr>
        <w:t>stack shifting costs) and</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sampling loss incurred thereby shall be borne by the owner; otherwise, </w:t>
      </w:r>
      <w:r>
        <w:rPr>
          <w:rFonts w:ascii="Times New Roman" w:hAnsi="Times New Roman" w:cs="Times New Roman" w:hint="eastAsia"/>
          <w:sz w:val="24"/>
          <w:szCs w:val="24"/>
        </w:rPr>
        <w:t>t</w:t>
      </w:r>
      <w:r>
        <w:rPr>
          <w:rFonts w:ascii="Times New Roman" w:hAnsi="Times New Roman" w:cs="Times New Roman"/>
          <w:sz w:val="24"/>
          <w:szCs w:val="24"/>
        </w:rPr>
        <w:t>he relevant fees (including but not limited to the inspection fees, traveling expenses</w:t>
      </w:r>
      <w:r>
        <w:rPr>
          <w:rFonts w:ascii="Times New Roman" w:hAnsi="Times New Roman" w:cs="Times New Roman" w:hint="eastAsia"/>
          <w:sz w:val="24"/>
          <w:szCs w:val="24"/>
        </w:rPr>
        <w:t>,</w:t>
      </w:r>
      <w:r>
        <w:rPr>
          <w:rFonts w:ascii="Times New Roman" w:hAnsi="Times New Roman" w:cs="Times New Roman"/>
          <w:sz w:val="24"/>
          <w:szCs w:val="24"/>
        </w:rPr>
        <w:t xml:space="preserve"> storage fees</w:t>
      </w:r>
      <w:r>
        <w:rPr>
          <w:rFonts w:ascii="Times New Roman" w:hAnsi="Times New Roman" w:cs="Times New Roman" w:hint="eastAsia"/>
          <w:sz w:val="24"/>
          <w:szCs w:val="24"/>
        </w:rPr>
        <w:t xml:space="preserve">, </w:t>
      </w:r>
      <w:r>
        <w:rPr>
          <w:rFonts w:ascii="Times New Roman" w:hAnsi="Times New Roman" w:cs="Times New Roman"/>
          <w:sz w:val="24"/>
          <w:szCs w:val="24"/>
        </w:rPr>
        <w:t>stack shifting costs) and</w:t>
      </w:r>
      <w:r>
        <w:rPr>
          <w:rFonts w:ascii="Times New Roman" w:hAnsi="Times New Roman" w:cs="Times New Roman" w:hint="eastAsia"/>
          <w:sz w:val="24"/>
          <w:szCs w:val="24"/>
        </w:rPr>
        <w:t xml:space="preserve"> </w:t>
      </w:r>
      <w:r>
        <w:rPr>
          <w:rFonts w:ascii="Times New Roman" w:hAnsi="Times New Roman" w:cs="Times New Roman"/>
          <w:sz w:val="24"/>
          <w:szCs w:val="24"/>
        </w:rPr>
        <w:t>sampling loss incurred thereby</w:t>
      </w:r>
      <w:r>
        <w:rPr>
          <w:rFonts w:ascii="Times New Roman" w:hAnsi="Times New Roman" w:cs="Times New Roman" w:hint="eastAsia"/>
          <w:sz w:val="24"/>
          <w:szCs w:val="24"/>
        </w:rPr>
        <w:t xml:space="preserve"> </w:t>
      </w:r>
      <w:r>
        <w:rPr>
          <w:rFonts w:ascii="Times New Roman" w:hAnsi="Times New Roman" w:cs="Times New Roman"/>
          <w:kern w:val="2"/>
          <w:sz w:val="24"/>
          <w:szCs w:val="24"/>
        </w:rPr>
        <w:t xml:space="preserve">shall be borne by the warehouse, and the warehouse may exchange or repurchase the commodities, with the repurchase payments = 120% of the </w:t>
      </w:r>
      <w:r>
        <w:rPr>
          <w:rFonts w:ascii="Times New Roman" w:hAnsi="Times New Roman" w:cs="Times New Roman"/>
          <w:kern w:val="2"/>
          <w:sz w:val="24"/>
          <w:szCs w:val="24"/>
        </w:rPr>
        <w:lastRenderedPageBreak/>
        <w:t xml:space="preserve">delivery settlement price of the latest delivery month × the quantity of the commodities which are re-inspected not conforming to the delivery quality standards. In case of exchanging commodities, the warehouse shall complete the preparation of the commodities within fifteen (15) working days after its receipt of the dispute re-inspection report. The Exchange shall entrust a designated quality inspection agency to inspect the exchanged commodities; if the exchanged commodities conform to the delivery quality standards, the owner shall not refuse receipt of the exchanged commodities and shall pick up the commodities within ten (10) working days at the warehouse after its receipt of the quality inspection report regarding the exchanged commodities; and if no pick-up is made in the prescribed manner within the prescribed period, the warehouse will not guarantee that the quality of all commodities will conform to the futures standards. </w:t>
      </w:r>
      <w:r>
        <w:rPr>
          <w:rFonts w:ascii="Times New Roman" w:hAnsi="Times New Roman" w:cs="Times New Roman" w:hint="eastAsia"/>
          <w:sz w:val="24"/>
          <w:szCs w:val="24"/>
        </w:rPr>
        <w:t>T</w:t>
      </w:r>
      <w:r>
        <w:rPr>
          <w:rFonts w:ascii="Times New Roman" w:hAnsi="Times New Roman" w:cs="Times New Roman"/>
          <w:sz w:val="24"/>
          <w:szCs w:val="24"/>
        </w:rPr>
        <w:t>he relevant fees (including but not limited to the inspection fees, storage fees</w:t>
      </w:r>
      <w:r>
        <w:rPr>
          <w:rFonts w:ascii="Times New Roman" w:hAnsi="Times New Roman" w:cs="Times New Roman" w:hint="eastAsia"/>
          <w:sz w:val="24"/>
          <w:szCs w:val="24"/>
        </w:rPr>
        <w:t xml:space="preserve">, </w:t>
      </w:r>
      <w:r>
        <w:rPr>
          <w:rFonts w:ascii="Times New Roman" w:hAnsi="Times New Roman" w:cs="Times New Roman"/>
          <w:sz w:val="24"/>
          <w:szCs w:val="24"/>
        </w:rPr>
        <w:t>stack shifting costs) and</w:t>
      </w:r>
      <w:r>
        <w:rPr>
          <w:rFonts w:ascii="Times New Roman" w:hAnsi="Times New Roman" w:cs="Times New Roman" w:hint="eastAsia"/>
          <w:sz w:val="24"/>
          <w:szCs w:val="24"/>
        </w:rPr>
        <w:t xml:space="preserve"> </w:t>
      </w:r>
      <w:r>
        <w:rPr>
          <w:rFonts w:ascii="Times New Roman" w:hAnsi="Times New Roman" w:cs="Times New Roman"/>
          <w:sz w:val="24"/>
          <w:szCs w:val="24"/>
        </w:rPr>
        <w:t>sampling loss incurred by</w:t>
      </w:r>
      <w:r>
        <w:rPr>
          <w:rFonts w:ascii="Times New Roman" w:hAnsi="Times New Roman" w:cs="Times New Roman" w:hint="eastAsia"/>
          <w:sz w:val="24"/>
          <w:szCs w:val="24"/>
        </w:rPr>
        <w:t xml:space="preserve"> exchanging commodities</w:t>
      </w:r>
      <w:r>
        <w:rPr>
          <w:rFonts w:ascii="Times New Roman" w:hAnsi="Times New Roman" w:cs="Times New Roman" w:hint="eastAsia"/>
          <w:sz w:val="24"/>
          <w:szCs w:val="24"/>
          <w:shd w:val="pct10" w:color="auto" w:fill="FFFFFF"/>
        </w:rPr>
        <w:t xml:space="preserve"> </w:t>
      </w:r>
      <w:r>
        <w:rPr>
          <w:rFonts w:ascii="Times New Roman" w:hAnsi="Times New Roman" w:cs="Times New Roman"/>
          <w:kern w:val="2"/>
          <w:sz w:val="24"/>
          <w:szCs w:val="24"/>
        </w:rPr>
        <w:t>shall be borne by the warehouse. If the exchanged commodities fail to conform to the delivery quality standards, the warehouse shall repurchase the commodities, with the repurchase payments = 120% of the delivery settlement price of the latest delivery month × the quantity of the commodities which are re-inspected upon commodity exchange not conforming to the delivery quality standards, and the corresponding commodities shall belong to the warehouse.</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If the owner has any objection to whether the fiberboard is produced by the continuous press factory warehouse, the product shall be determined by such factory warehouse, whose determination shall prevail. If the fiberboard is determined to be the product not produced by such factory warehouse, the factory warehouse shall exchange the commodities within fifteen (15) working days.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When the fiberboards are loaded out of the factory warehouse, the owner shall pick up the commodities within seven (7) calendar days (inclusive of the seventh calendar day) following deregistration of the standard warehouse receipt (exclusive of the deregistration day), and the factory warehouse shall commence consignment within seven (7) calendar days (inclusive of the seventh calendar day) following deregistration of the standard warehouse receipt (exclusive of the deregistration day).</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Where quantity of the commodities to be received by the owner equals or is more than two hundred (200) cubic meters, the owner may contact with the factory warehouse to choose the thickness of the fiberboards from twelve (12) millimeters within one (1) calendar day (inclusive of the then-</w:t>
      </w:r>
      <w:r>
        <w:rPr>
          <w:rFonts w:ascii="Times New Roman" w:hAnsi="Times New Roman" w:cs="Times New Roman"/>
          <w:kern w:val="2"/>
          <w:sz w:val="24"/>
          <w:szCs w:val="24"/>
        </w:rPr>
        <w:lastRenderedPageBreak/>
        <w:t xml:space="preserve">current day) following deregistration of the standard warehouse receipt (exclusive of the deregistration day), fifteen (15) millimeters and eighteen (18) millimeters, otherwise the factory warehouse has the right to determine the thickness of the fiberboards to be consigned. If quantity of fiberboards of each thickness is not less than two hundred (200) cubic meters, the factory warehouse is obliged to provide the commodities as per the choice of the owner. </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When the fiberboards are loaded out of the factory warehouse, the factory warehouse shall draw samples under the owner</w:t>
      </w:r>
      <w:r>
        <w:rPr>
          <w:rFonts w:ascii="Times New Roman" w:hAnsi="Times New Roman" w:cs="Times New Roman"/>
          <w:color w:val="000000"/>
          <w:kern w:val="2"/>
          <w:sz w:val="24"/>
          <w:szCs w:val="24"/>
        </w:rPr>
        <w:t>'</w:t>
      </w:r>
      <w:r>
        <w:rPr>
          <w:rFonts w:ascii="Times New Roman" w:hAnsi="Times New Roman" w:cs="Times New Roman"/>
          <w:kern w:val="2"/>
          <w:sz w:val="24"/>
          <w:szCs w:val="24"/>
        </w:rPr>
        <w:t xml:space="preserve">s supervision and seal up the samples upon confirmation of both parties, and shall preserve the samples for thirty (30) calendar days following sealing of the samples. </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If the owner has any objection over the quality of the commodities to be loaded out of the factory warehouse, it shall firstly negotiate with the factory warehouse for settlement. If the negotiation fails, the owner shall, within ten (10) working days (exclusive of the tenth working day) after the samples are sealed by it according to the provisions, file in writing an application for re-inspection with the Exchange. The Exchange shall entrust a designated quality inspection agency to carry out the re-inspection over the reserved samples, and the sample inspection result shall be the basis for any dispute settlement. Where there is no provision herein, the relevant provisions in the Clause 1 of Article 36 hereof shall be applicable by reference.</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In order to carry out commodity exchange for the owner, the factory warehouse may provide fiberboards of which the specification and quality vary except for those required under the delivery quality standards by reporting the price difference for commodity exchange. The factory warehouse which provides commodity exchange shall report to the Exchange the specification, quality, minimum quantity of commodity exchange, price difference of the fiberboard which can be used for commodity exchange next month before the market close on the last but two trading day (inclusive) of each month, and the Exchange will publish such statistics on the last trading day of the then-current month on its website. If the factory warehouse has reported the price difference for commodity exchange before, it shall be deemed to agree to implement such price difference for the next month if it does not submit revoke application or submit new price difference within the prescribed period.</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 xml:space="preserve">If the owner does not have objection over quantity and quality of the commodities for futures delivery when picking up the commodities, it shall be deemed that the futures delivery has completed. After completion </w:t>
      </w:r>
      <w:r>
        <w:rPr>
          <w:rFonts w:ascii="Times New Roman" w:hAnsi="Times New Roman" w:cs="Times New Roman"/>
          <w:kern w:val="2"/>
          <w:sz w:val="24"/>
          <w:szCs w:val="24"/>
        </w:rPr>
        <w:lastRenderedPageBreak/>
        <w:t xml:space="preserve">of the futures delivery, the owner may, if needed, choose to exchange the fiberboards within the specification and quality as provided by the factory warehouse; if the quantity required by the owner is not less than the minimum quantity of commodity exchange reported by the factory warehouse, the factory warehouse is obliged to produce the commodities and settle the price difference with the client in accordance with the published price difference for commodity exchange. Commodity exchange is the physical activity at the will of the factory warehouse and the owner, and the Exchange will not undertake any liability in relation to the quantity and quality of the exchanged commodities and payment for the price difference. </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the factory warehouse consigns commodities to the owner at a speed no higher than the daily consignment speed but the owner fails to pick up the commodities due to its transportation capability or any other reason attributable to the owner, the owner shall pay to the factory warehouse the late fee. The late fee is determined as follows:</w:t>
      </w:r>
    </w:p>
    <w:p w:rsidR="001B0DD5" w:rsidRDefault="001B0DD5" w:rsidP="001B0DD5">
      <w:pPr>
        <w:widowControl w:val="0"/>
        <w:numPr>
          <w:ilvl w:val="0"/>
          <w:numId w:val="2"/>
        </w:numPr>
        <w:tabs>
          <w:tab w:val="left" w:pos="1843"/>
        </w:tabs>
        <w:adjustRightInd w:val="0"/>
        <w:snapToGrid w:val="0"/>
        <w:spacing w:before="200" w:line="288" w:lineRule="auto"/>
        <w:ind w:left="1843" w:hanging="584"/>
        <w:rPr>
          <w:rFonts w:ascii="Times New Roman" w:hAnsi="Times New Roman" w:cs="Times New Roman"/>
          <w:kern w:val="2"/>
          <w:sz w:val="24"/>
          <w:szCs w:val="24"/>
        </w:rPr>
      </w:pPr>
      <w:r>
        <w:rPr>
          <w:rFonts w:ascii="Times New Roman" w:hAnsi="Times New Roman" w:cs="Times New Roman"/>
          <w:kern w:val="2"/>
          <w:sz w:val="24"/>
          <w:szCs w:val="24"/>
        </w:rPr>
        <w:t>from the starting date of goods pick-up (inclusive of the pick-up day), for each day, the amount of late fee on the then-current day shall be figured out by multiplying the quantity of the goods which shall be picked up but fail to be picked up on the then-current day by the corresponding amount of late fee; and</w:t>
      </w:r>
    </w:p>
    <w:p w:rsidR="001B0DD5" w:rsidRDefault="001B0DD5" w:rsidP="001B0DD5">
      <w:pPr>
        <w:widowControl w:val="0"/>
        <w:numPr>
          <w:ilvl w:val="0"/>
          <w:numId w:val="2"/>
        </w:numPr>
        <w:tabs>
          <w:tab w:val="left" w:pos="1843"/>
        </w:tabs>
        <w:adjustRightInd w:val="0"/>
        <w:snapToGrid w:val="0"/>
        <w:spacing w:before="200" w:line="288" w:lineRule="auto"/>
        <w:ind w:left="1843" w:hanging="584"/>
        <w:rPr>
          <w:rFonts w:ascii="Times New Roman" w:hAnsi="Times New Roman" w:cs="Times New Roman"/>
          <w:kern w:val="2"/>
          <w:sz w:val="24"/>
          <w:szCs w:val="24"/>
        </w:rPr>
      </w:pPr>
      <w:r>
        <w:rPr>
          <w:rFonts w:ascii="Times New Roman" w:hAnsi="Times New Roman" w:cs="Times New Roman"/>
          <w:kern w:val="2"/>
          <w:sz w:val="24"/>
          <w:szCs w:val="24"/>
        </w:rPr>
        <w:t>to the completion date of goods pick-up (exclusive of the pick-up day), the total amount of late fee which the owner shall pay to the factory warehouse shall be figured out on the basis of totaling the daily amount of late fee.</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standard amount of late fee shall be CNY 2/Cubic Meter*Day.</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If the pick-up is carried out after expiry of the pick-up period (exclusive of the then-current day) and within twenty-two (22) calendar days (inclusive of the then-current day) following the deregistration of the standard warehouse receipt(exclusive of the deregistration day), the owner shall pay the late fee to the factory warehouse, and the factory warehouse shall assume the liability related to the commodity quality, consignment time and consignment speed pursuant to the futures standards, unless all the futures commodities have been consigned.</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 xml:space="preserve">The late fee shall be determined according to the following method: </w:t>
      </w:r>
    </w:p>
    <w:p w:rsidR="001B0DD5" w:rsidRDefault="001B0DD5" w:rsidP="001B0DD5">
      <w:pPr>
        <w:widowControl w:val="0"/>
        <w:numPr>
          <w:ilvl w:val="0"/>
          <w:numId w:val="3"/>
        </w:numPr>
        <w:tabs>
          <w:tab w:val="left" w:pos="1843"/>
        </w:tabs>
        <w:adjustRightInd w:val="0"/>
        <w:snapToGrid w:val="0"/>
        <w:spacing w:before="200" w:line="288" w:lineRule="auto"/>
        <w:ind w:left="1826" w:hanging="567"/>
        <w:rPr>
          <w:rFonts w:ascii="Times New Roman" w:hAnsi="Times New Roman" w:cs="Times New Roman"/>
          <w:kern w:val="2"/>
          <w:sz w:val="24"/>
          <w:szCs w:val="24"/>
        </w:rPr>
      </w:pPr>
      <w:r>
        <w:rPr>
          <w:rFonts w:ascii="Times New Roman" w:hAnsi="Times New Roman" w:cs="Times New Roman"/>
          <w:kern w:val="2"/>
          <w:sz w:val="24"/>
          <w:szCs w:val="24"/>
        </w:rPr>
        <w:t xml:space="preserve">from the date of expiration of pick-up period (inclusive of the expiration day), for each day, the amount of late fee on the then-current day shall be figured out by multiplying the quantity of the </w:t>
      </w:r>
      <w:r>
        <w:rPr>
          <w:rFonts w:ascii="Times New Roman" w:hAnsi="Times New Roman" w:cs="Times New Roman"/>
          <w:kern w:val="2"/>
          <w:sz w:val="24"/>
          <w:szCs w:val="24"/>
        </w:rPr>
        <w:lastRenderedPageBreak/>
        <w:t>goods which shall be picked up but fail to be picked up on the then-current day by the corresponding amount of late fee; and</w:t>
      </w:r>
    </w:p>
    <w:p w:rsidR="001B0DD5" w:rsidRDefault="001B0DD5" w:rsidP="001B0DD5">
      <w:pPr>
        <w:widowControl w:val="0"/>
        <w:numPr>
          <w:ilvl w:val="0"/>
          <w:numId w:val="3"/>
        </w:numPr>
        <w:tabs>
          <w:tab w:val="left" w:pos="1843"/>
        </w:tabs>
        <w:adjustRightInd w:val="0"/>
        <w:snapToGrid w:val="0"/>
        <w:spacing w:before="200" w:line="288" w:lineRule="auto"/>
        <w:ind w:left="1843" w:hanging="584"/>
        <w:rPr>
          <w:rFonts w:ascii="Times New Roman" w:hAnsi="Times New Roman" w:cs="Times New Roman"/>
          <w:kern w:val="2"/>
          <w:sz w:val="24"/>
          <w:szCs w:val="24"/>
        </w:rPr>
      </w:pPr>
      <w:r>
        <w:rPr>
          <w:rFonts w:ascii="Times New Roman" w:hAnsi="Times New Roman" w:cs="Times New Roman"/>
          <w:kern w:val="2"/>
          <w:sz w:val="24"/>
          <w:szCs w:val="24"/>
        </w:rPr>
        <w:t>to the completion date of pick-up (exclusive of the pick-up day), the total amount of late fee which the owner shall pay to the factory warehouse shall be figured out on the basis of totaling the daily amount of late fee.</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standard amount of late fee shall be CNY 2/Cubic Meter*Day.</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If the owner picks up the commodities at the factory warehouse after twenty-two (22) calendar days (exclusive of the then-current day) following the date of deregistration of the standard warehouse receipt (exclusive of the deregistration day), the owner shall pay the late fee to the factory warehouse as calculated in the following formula, and the factory warehouse shall assume no liability related to the commodity quality, consignment time and consignment speed under the futures standards.</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Amount of late fee = CNY 2/Cubic Meter*Day × Quantity of all the commodities × 22 Days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the factory warehouse fails to consign commodities according to the required daily consignment speed but timely completes the consignment of all the commodities, the factory warehouse shall compensate the owner.</w:t>
      </w:r>
    </w:p>
    <w:p w:rsidR="001B0DD5" w:rsidRDefault="001B0DD5" w:rsidP="001B0DD5">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Amount of compensation of the products = Delivery settlement price of the last delivery month of such commodity × Quantity of the commodities which shall be, but fail to be, consigned according to the required daily load out speed × 5%</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the factory warehouse fails to timely complete the consignment of all the commodities, the factory warehouse shall, in addition to the compensation provided in Article 42 of the Detailed Rules, compensate the owner, the amount of such compensation for products = Delivery settlement price of the last delivery month of such commodity × Quantity of the commodities which shall be, but fail to be, consigned according to the total quantity of the commodities × 5%, the following procedures shall apply to such failure:</w:t>
      </w:r>
    </w:p>
    <w:p w:rsidR="001B0DD5" w:rsidRDefault="001B0DD5" w:rsidP="001B0DD5">
      <w:pPr>
        <w:widowControl w:val="0"/>
        <w:numPr>
          <w:ilvl w:val="0"/>
          <w:numId w:val="4"/>
        </w:numPr>
        <w:adjustRightInd w:val="0"/>
        <w:snapToGrid w:val="0"/>
        <w:spacing w:before="200" w:line="288" w:lineRule="auto"/>
        <w:ind w:left="1826" w:hanging="567"/>
        <w:rPr>
          <w:rFonts w:ascii="Times New Roman" w:hAnsi="Times New Roman" w:cs="Times New Roman"/>
          <w:kern w:val="2"/>
          <w:sz w:val="24"/>
          <w:szCs w:val="24"/>
        </w:rPr>
      </w:pPr>
      <w:r>
        <w:rPr>
          <w:rFonts w:ascii="Times New Roman" w:hAnsi="Times New Roman" w:cs="Times New Roman"/>
          <w:kern w:val="2"/>
          <w:sz w:val="24"/>
          <w:szCs w:val="24"/>
        </w:rPr>
        <w:t>the Exchange shall supply to the owner the physical commodities of the same quality and quantity of other factory warehouses or locations and bear all the costs and expenses arising out of or in connection with the adjustment of the delivery site and the delayed consignment; or</w:t>
      </w:r>
    </w:p>
    <w:p w:rsidR="001B0DD5" w:rsidRDefault="001B0DD5" w:rsidP="001B0DD5">
      <w:pPr>
        <w:widowControl w:val="0"/>
        <w:numPr>
          <w:ilvl w:val="0"/>
          <w:numId w:val="4"/>
        </w:numPr>
        <w:adjustRightInd w:val="0"/>
        <w:snapToGrid w:val="0"/>
        <w:spacing w:before="200" w:line="288" w:lineRule="auto"/>
        <w:ind w:left="1826" w:hanging="567"/>
        <w:rPr>
          <w:rFonts w:ascii="Times New Roman" w:hAnsi="Times New Roman" w:cs="Times New Roman"/>
          <w:kern w:val="2"/>
          <w:sz w:val="24"/>
          <w:szCs w:val="24"/>
        </w:rPr>
      </w:pPr>
      <w:r>
        <w:rPr>
          <w:rFonts w:ascii="Times New Roman" w:hAnsi="Times New Roman" w:cs="Times New Roman"/>
          <w:kern w:val="2"/>
          <w:sz w:val="24"/>
          <w:szCs w:val="24"/>
        </w:rPr>
        <w:lastRenderedPageBreak/>
        <w:t>where the Exchange fails to supply the above commodities, the Exchange shall refund to the owner the payment of the commodities and compensate the owner.</w:t>
      </w:r>
    </w:p>
    <w:p w:rsidR="001B0DD5" w:rsidRDefault="001B0DD5" w:rsidP="001B0DD5">
      <w:pPr>
        <w:widowControl w:val="0"/>
        <w:adjustRightInd w:val="0"/>
        <w:snapToGrid w:val="0"/>
        <w:spacing w:before="200" w:line="288" w:lineRule="auto"/>
        <w:ind w:left="1797"/>
        <w:rPr>
          <w:rFonts w:ascii="Times New Roman" w:hAnsi="Times New Roman" w:cs="Times New Roman"/>
          <w:kern w:val="2"/>
          <w:sz w:val="24"/>
          <w:szCs w:val="24"/>
        </w:rPr>
      </w:pPr>
      <w:r>
        <w:rPr>
          <w:rFonts w:ascii="Times New Roman" w:hAnsi="Times New Roman" w:cs="Times New Roman"/>
          <w:kern w:val="2"/>
          <w:sz w:val="24"/>
          <w:szCs w:val="24"/>
        </w:rPr>
        <w:t>Amount of refunded payment of commodities and compensation = Delivery settlement price of the last delivery month of such commodity × Quantity of the commodities which shall be, but fail to be, consigned according to the total quantity of the commodities × 120%</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In the event of any violation by the factory warehouse described in Article 42 or 43 of the Detailed Rules, the compensation shall firstly be paid to the owner by the factory warehouse. Where the factory warehouse fails to pay such compensation or the amount of compensation is insufficient, shall be handled by the Exchange subject to the applicable provisions of the </w:t>
      </w:r>
      <w:r>
        <w:rPr>
          <w:rFonts w:ascii="Times New Roman" w:hAnsi="Times New Roman" w:cs="Times New Roman"/>
          <w:i/>
          <w:kern w:val="2"/>
          <w:sz w:val="24"/>
          <w:szCs w:val="24"/>
        </w:rPr>
        <w:t>Measures for Standard Warehouse Receipt Management of Dalian Commodity Exchange</w:t>
      </w:r>
      <w:r>
        <w:rPr>
          <w:rFonts w:ascii="Times New Roman" w:hAnsi="Times New Roman" w:cs="Times New Roman"/>
          <w:kern w:val="2"/>
          <w:sz w:val="24"/>
          <w:szCs w:val="24"/>
        </w:rPr>
        <w:t>.</w:t>
      </w:r>
    </w:p>
    <w:p w:rsidR="001B0DD5" w:rsidRDefault="001B0DD5" w:rsidP="001B0DD5">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IV Supplementary Provisions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Any violation of the Detailed Rules shall be handled by the Exchange subject to the applicable provisions of the </w:t>
      </w:r>
      <w:r>
        <w:rPr>
          <w:rFonts w:ascii="Times New Roman" w:hAnsi="Times New Roman" w:cs="Times New Roman"/>
          <w:i/>
          <w:kern w:val="2"/>
          <w:sz w:val="24"/>
          <w:szCs w:val="24"/>
        </w:rPr>
        <w:t xml:space="preserve">Measures against Rule Violations of Dalian Commodity Exchange </w:t>
      </w:r>
      <w:r>
        <w:rPr>
          <w:rFonts w:ascii="Times New Roman" w:hAnsi="Times New Roman" w:cs="Times New Roman"/>
          <w:kern w:val="2"/>
          <w:sz w:val="24"/>
          <w:szCs w:val="24"/>
        </w:rPr>
        <w:t>and other rules.</w:t>
      </w:r>
    </w:p>
    <w:p w:rsidR="001B0DD5" w:rsidRDefault="001B0DD5" w:rsidP="001B0DD5">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Exchange reserves the right to interpret the Detailed Rules.</w:t>
      </w:r>
    </w:p>
    <w:p w:rsidR="001B0DD5" w:rsidRDefault="001B0DD5" w:rsidP="001B0DD5">
      <w:pPr>
        <w:widowControl w:val="0"/>
        <w:numPr>
          <w:ilvl w:val="0"/>
          <w:numId w:val="1"/>
        </w:numPr>
        <w:adjustRightInd w:val="0"/>
        <w:snapToGrid w:val="0"/>
        <w:spacing w:before="200" w:line="288" w:lineRule="auto"/>
        <w:rPr>
          <w:rFonts w:ascii="Times New Roman" w:hAnsi="Times New Roman" w:cs="Times New Roman"/>
          <w:b/>
          <w:kern w:val="2"/>
          <w:sz w:val="24"/>
          <w:szCs w:val="24"/>
        </w:rPr>
      </w:pPr>
      <w:r>
        <w:rPr>
          <w:rFonts w:ascii="Times New Roman" w:hAnsi="Times New Roman" w:cs="Times New Roman"/>
          <w:kern w:val="2"/>
          <w:sz w:val="24"/>
          <w:szCs w:val="24"/>
        </w:rPr>
        <w:t>The Detailed Rules shall come into force on July 1, 2019.</w:t>
      </w:r>
    </w:p>
    <w:p w:rsidR="001B0DD5" w:rsidRDefault="001B0DD5" w:rsidP="001B0DD5">
      <w:pPr>
        <w:widowControl w:val="0"/>
        <w:adjustRightInd w:val="0"/>
        <w:snapToGrid w:val="0"/>
        <w:spacing w:before="200" w:line="288" w:lineRule="auto"/>
        <w:rPr>
          <w:rFonts w:ascii="Times New Roman" w:hAnsi="Times New Roman" w:cs="Times New Roman"/>
          <w:b/>
          <w:kern w:val="2"/>
          <w:sz w:val="24"/>
          <w:szCs w:val="24"/>
        </w:rPr>
      </w:pPr>
    </w:p>
    <w:p w:rsidR="001B0DD5" w:rsidRDefault="001B0DD5" w:rsidP="001B0DD5">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 xml:space="preserve">Annex 1:  Fiberboard Delivery Quality Standard of Dalian Commodity Exchange (F/DCE FB001-2019) </w:t>
      </w:r>
    </w:p>
    <w:p w:rsidR="001B0DD5" w:rsidRDefault="001B0DD5" w:rsidP="001B0DD5">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Annex 2:  List of Delivery Warehouses Designated for Fiberboard of Dalian Commodity Exchange</w:t>
      </w:r>
    </w:p>
    <w:p w:rsidR="001B0DD5" w:rsidRDefault="001B0DD5" w:rsidP="001B0DD5">
      <w:pPr>
        <w:shd w:val="clear" w:color="auto" w:fill="FFFFFF"/>
        <w:adjustRightInd w:val="0"/>
        <w:snapToGrid w:val="0"/>
        <w:spacing w:before="200" w:line="288" w:lineRule="auto"/>
        <w:rPr>
          <w:rFonts w:ascii="Times New Roman" w:hAnsi="Times New Roman" w:cs="Times New Roman"/>
          <w:b/>
          <w:i/>
          <w:kern w:val="2"/>
          <w:sz w:val="24"/>
          <w:szCs w:val="24"/>
        </w:rPr>
      </w:pPr>
    </w:p>
    <w:p w:rsidR="001B0DD5" w:rsidRDefault="001B0DD5" w:rsidP="001B0DD5">
      <w:pPr>
        <w:shd w:val="clear" w:color="auto" w:fill="FFFFFF"/>
        <w:adjustRightInd w:val="0"/>
        <w:snapToGrid w:val="0"/>
        <w:spacing w:before="200" w:line="288" w:lineRule="auto"/>
        <w:rPr>
          <w:rFonts w:ascii="Times New Roman" w:hAnsi="Times New Roman" w:cs="Times New Roman"/>
          <w:i/>
          <w:kern w:val="2"/>
          <w:sz w:val="24"/>
          <w:szCs w:val="24"/>
        </w:rPr>
      </w:pPr>
      <w:r>
        <w:rPr>
          <w:rFonts w:ascii="Times New Roman" w:hAnsi="Times New Roman" w:cs="Times New Roman"/>
          <w:b/>
          <w:i/>
          <w:kern w:val="2"/>
          <w:sz w:val="24"/>
          <w:szCs w:val="24"/>
        </w:rPr>
        <w:t>Disclaimer</w:t>
      </w:r>
      <w:r>
        <w:rPr>
          <w:rFonts w:ascii="Times New Roman" w:hAnsi="Times New Roman" w:cs="Times New Roman"/>
          <w:i/>
          <w:kern w:val="2"/>
          <w:sz w:val="24"/>
          <w:szCs w:val="24"/>
        </w:rPr>
        <w:t>: This English translation may be used for reference only. In case there is any discrepancy between the English version and the original Chinese version, the original Chinese version shall prevail. Dalian Commodity Exchange may change or update this English translation without any prior notice and shall accept no responsibility or liability for damage or loss caused by any error, inaccuracy, misunderstanding, or change with regard to this English translation.</w:t>
      </w:r>
    </w:p>
    <w:p w:rsidR="00912DCB" w:rsidRDefault="00912DCB">
      <w:pPr>
        <w:jc w:val="left"/>
        <w:rPr>
          <w:rFonts w:ascii="Times New Roman" w:hAnsi="Times New Roman" w:cs="Times New Roman"/>
          <w:b/>
          <w:sz w:val="24"/>
          <w:szCs w:val="24"/>
        </w:rPr>
      </w:pPr>
      <w:r>
        <w:rPr>
          <w:rFonts w:ascii="Times New Roman" w:hAnsi="Times New Roman" w:cs="Times New Roman"/>
          <w:b/>
          <w:sz w:val="24"/>
          <w:szCs w:val="24"/>
        </w:rPr>
        <w:br w:type="page"/>
      </w:r>
    </w:p>
    <w:p w:rsidR="00912DCB" w:rsidRPr="00912DCB" w:rsidRDefault="00912DCB" w:rsidP="00912DCB">
      <w:pPr>
        <w:snapToGrid w:val="0"/>
        <w:spacing w:after="200" w:line="288" w:lineRule="auto"/>
        <w:rPr>
          <w:rFonts w:ascii="Times New Roman" w:hAnsi="Times New Roman" w:cs="Times New Roman"/>
          <w:b/>
          <w:bCs/>
          <w:sz w:val="24"/>
          <w:szCs w:val="24"/>
        </w:rPr>
      </w:pPr>
      <w:r w:rsidRPr="00912DCB">
        <w:rPr>
          <w:rFonts w:ascii="Times New Roman" w:hAnsi="Times New Roman" w:cs="Times New Roman"/>
          <w:b/>
          <w:bCs/>
          <w:sz w:val="24"/>
          <w:szCs w:val="24"/>
        </w:rPr>
        <w:lastRenderedPageBreak/>
        <w:t>Annex 1</w:t>
      </w:r>
    </w:p>
    <w:p w:rsidR="00912DCB" w:rsidRPr="00912DCB" w:rsidRDefault="00912DCB" w:rsidP="00912DCB">
      <w:pPr>
        <w:snapToGrid w:val="0"/>
        <w:spacing w:after="200" w:line="288" w:lineRule="auto"/>
        <w:jc w:val="center"/>
        <w:rPr>
          <w:rFonts w:ascii="Times New Roman" w:hAnsi="Times New Roman" w:cs="Times New Roman"/>
          <w:b/>
          <w:bCs/>
          <w:color w:val="333333"/>
          <w:sz w:val="24"/>
          <w:szCs w:val="24"/>
        </w:rPr>
      </w:pPr>
      <w:r w:rsidRPr="00912DCB">
        <w:rPr>
          <w:rFonts w:ascii="Times New Roman" w:hAnsi="Times New Roman" w:cs="Times New Roman"/>
          <w:b/>
          <w:bCs/>
          <w:color w:val="333333"/>
          <w:sz w:val="24"/>
          <w:szCs w:val="24"/>
        </w:rPr>
        <w:t xml:space="preserve">Fiberboard Delivery Quality Standard of Dalian Commodity Exchange ("DCE") </w:t>
      </w:r>
      <w:r w:rsidRPr="00912DCB">
        <w:rPr>
          <w:rFonts w:ascii="Times New Roman" w:hAnsi="Times New Roman" w:cs="Times New Roman"/>
          <w:b/>
          <w:bCs/>
          <w:i/>
          <w:iCs/>
          <w:color w:val="333333"/>
          <w:sz w:val="24"/>
          <w:szCs w:val="24"/>
        </w:rPr>
        <w:t>(F/DCE FB001-2019)</w:t>
      </w:r>
    </w:p>
    <w:p w:rsidR="00912DCB" w:rsidRPr="00912DCB" w:rsidRDefault="00912DCB" w:rsidP="00912DCB">
      <w:pPr>
        <w:pStyle w:val="1"/>
        <w:widowControl/>
        <w:numPr>
          <w:ilvl w:val="0"/>
          <w:numId w:val="5"/>
        </w:numPr>
        <w:shd w:val="clear" w:color="auto" w:fill="FFFFFF"/>
        <w:snapToGrid w:val="0"/>
        <w:spacing w:after="200" w:line="288" w:lineRule="auto"/>
        <w:ind w:left="567" w:firstLineChars="0" w:hanging="567"/>
        <w:rPr>
          <w:rFonts w:ascii="Times New Roman" w:hAnsi="Times New Roman"/>
          <w:color w:val="333333"/>
          <w:kern w:val="0"/>
          <w:sz w:val="24"/>
          <w:szCs w:val="24"/>
        </w:rPr>
      </w:pPr>
      <w:r w:rsidRPr="00912DCB">
        <w:rPr>
          <w:rFonts w:ascii="Times New Roman" w:hAnsi="Times New Roman"/>
          <w:b/>
          <w:bCs/>
          <w:color w:val="333333"/>
          <w:kern w:val="0"/>
          <w:sz w:val="24"/>
          <w:szCs w:val="24"/>
        </w:rPr>
        <w:t>Main content and applicable scope</w:t>
      </w:r>
    </w:p>
    <w:p w:rsidR="00912DCB" w:rsidRPr="00912DCB" w:rsidRDefault="00912DCB" w:rsidP="00912DCB">
      <w:pPr>
        <w:pStyle w:val="1"/>
        <w:widowControl/>
        <w:numPr>
          <w:ilvl w:val="1"/>
          <w:numId w:val="6"/>
        </w:numPr>
        <w:shd w:val="clear" w:color="auto" w:fill="FFFFFF"/>
        <w:adjustRightInd w:val="0"/>
        <w:snapToGrid w:val="0"/>
        <w:spacing w:after="200" w:line="288" w:lineRule="auto"/>
        <w:ind w:left="567" w:firstLineChars="0"/>
        <w:rPr>
          <w:rFonts w:ascii="Times New Roman" w:hAnsi="Times New Roman"/>
          <w:color w:val="333333"/>
          <w:kern w:val="0"/>
          <w:sz w:val="24"/>
          <w:szCs w:val="24"/>
        </w:rPr>
      </w:pPr>
      <w:r w:rsidRPr="00912DCB">
        <w:rPr>
          <w:rFonts w:ascii="Times New Roman" w:hAnsi="Times New Roman"/>
          <w:color w:val="333333"/>
          <w:kern w:val="0"/>
          <w:sz w:val="24"/>
          <w:szCs w:val="24"/>
        </w:rPr>
        <w:t>The standard herein (the "</w:t>
      </w:r>
      <w:r w:rsidRPr="00912DCB">
        <w:rPr>
          <w:rFonts w:ascii="Times New Roman" w:hAnsi="Times New Roman"/>
          <w:b/>
          <w:bCs/>
          <w:color w:val="333333"/>
          <w:kern w:val="0"/>
          <w:sz w:val="24"/>
          <w:szCs w:val="24"/>
        </w:rPr>
        <w:t>Standard</w:t>
      </w:r>
      <w:r w:rsidRPr="00912DCB">
        <w:rPr>
          <w:rFonts w:ascii="Times New Roman" w:hAnsi="Times New Roman"/>
          <w:color w:val="333333"/>
          <w:kern w:val="0"/>
          <w:sz w:val="24"/>
          <w:szCs w:val="24"/>
        </w:rPr>
        <w:t>") stipulates the quality requirements, testing methods, inspection rules, packaging and transportation requirements, etc. for fiberboarddelivered at DCE.</w:t>
      </w:r>
    </w:p>
    <w:p w:rsidR="00912DCB" w:rsidRPr="00912DCB" w:rsidRDefault="00912DCB" w:rsidP="00912DCB">
      <w:pPr>
        <w:pStyle w:val="1"/>
        <w:widowControl/>
        <w:numPr>
          <w:ilvl w:val="1"/>
          <w:numId w:val="6"/>
        </w:numPr>
        <w:shd w:val="clear" w:color="auto" w:fill="FFFFFF"/>
        <w:adjustRightInd w:val="0"/>
        <w:snapToGrid w:val="0"/>
        <w:spacing w:after="200" w:line="288" w:lineRule="auto"/>
        <w:ind w:left="567" w:firstLineChars="0"/>
        <w:rPr>
          <w:rFonts w:ascii="Times New Roman" w:hAnsi="Times New Roman"/>
          <w:color w:val="333333"/>
          <w:kern w:val="0"/>
          <w:sz w:val="24"/>
          <w:szCs w:val="24"/>
        </w:rPr>
      </w:pPr>
      <w:r w:rsidRPr="00912DCB">
        <w:rPr>
          <w:rFonts w:ascii="Times New Roman" w:hAnsi="Times New Roman"/>
          <w:color w:val="333333"/>
          <w:kern w:val="0"/>
          <w:sz w:val="24"/>
          <w:szCs w:val="24"/>
        </w:rPr>
        <w:t>The Standard applies to standard products delivered under the fiberboard futures contract of DCE.</w:t>
      </w:r>
    </w:p>
    <w:p w:rsidR="00912DCB" w:rsidRPr="00912DCB" w:rsidRDefault="00912DCB" w:rsidP="00912DCB">
      <w:pPr>
        <w:pStyle w:val="1"/>
        <w:widowControl/>
        <w:numPr>
          <w:ilvl w:val="0"/>
          <w:numId w:val="5"/>
        </w:numPr>
        <w:shd w:val="clear" w:color="auto" w:fill="FFFFFF"/>
        <w:snapToGrid w:val="0"/>
        <w:spacing w:after="200" w:line="288" w:lineRule="auto"/>
        <w:ind w:left="567" w:firstLineChars="0" w:hanging="567"/>
        <w:rPr>
          <w:rFonts w:ascii="Times New Roman" w:hAnsi="Times New Roman"/>
          <w:color w:val="333333"/>
          <w:kern w:val="0"/>
          <w:sz w:val="24"/>
          <w:szCs w:val="24"/>
        </w:rPr>
      </w:pPr>
      <w:r w:rsidRPr="00912DCB">
        <w:rPr>
          <w:rFonts w:ascii="Times New Roman" w:hAnsi="Times New Roman"/>
          <w:b/>
          <w:bCs/>
          <w:color w:val="333333"/>
          <w:kern w:val="0"/>
          <w:sz w:val="24"/>
          <w:szCs w:val="24"/>
        </w:rPr>
        <w:t>Cited rules and standards</w:t>
      </w:r>
    </w:p>
    <w:p w:rsidR="00912DCB" w:rsidRPr="00912DCB" w:rsidRDefault="00912DCB" w:rsidP="00912DCB">
      <w:pPr>
        <w:shd w:val="clear" w:color="auto" w:fill="FFFFFF"/>
        <w:adjustRightInd w:val="0"/>
        <w:snapToGrid w:val="0"/>
        <w:spacing w:after="200" w:line="288" w:lineRule="auto"/>
        <w:ind w:left="567"/>
        <w:rPr>
          <w:rFonts w:ascii="Times New Roman" w:hAnsi="Times New Roman" w:cs="Times New Roman"/>
          <w:color w:val="333333"/>
          <w:sz w:val="24"/>
          <w:szCs w:val="24"/>
        </w:rPr>
      </w:pPr>
      <w:r w:rsidRPr="00912DCB">
        <w:rPr>
          <w:rFonts w:ascii="Times New Roman" w:hAnsi="Times New Roman" w:cs="Times New Roman"/>
          <w:color w:val="333333"/>
          <w:sz w:val="24"/>
          <w:szCs w:val="24"/>
        </w:rPr>
        <w:t>The provisions of the following documents are incorporated as the provisions of the Standard by reference. For those cited documents noted with dates, all of their following amendments (excluding corrections) and revised versions shall not be applied to the Standard; for those without noted dates, their latest versions shall be applied to the Standard.</w:t>
      </w:r>
    </w:p>
    <w:p w:rsidR="00912DCB" w:rsidRPr="00912DCB" w:rsidRDefault="00912DCB" w:rsidP="00912DCB">
      <w:pPr>
        <w:shd w:val="clear" w:color="auto" w:fill="FFFFFF"/>
        <w:adjustRightInd w:val="0"/>
        <w:snapToGrid w:val="0"/>
        <w:spacing w:after="200" w:line="288" w:lineRule="auto"/>
        <w:ind w:left="567"/>
        <w:rPr>
          <w:rFonts w:ascii="Times New Roman" w:hAnsi="Times New Roman" w:cs="Times New Roman"/>
          <w:i/>
          <w:iCs/>
          <w:color w:val="333333"/>
          <w:sz w:val="24"/>
          <w:szCs w:val="24"/>
        </w:rPr>
      </w:pPr>
      <w:r w:rsidRPr="00912DCB">
        <w:rPr>
          <w:rFonts w:ascii="Times New Roman" w:hAnsi="Times New Roman" w:cs="Times New Roman"/>
          <w:i/>
          <w:iCs/>
          <w:color w:val="333333"/>
          <w:sz w:val="24"/>
          <w:szCs w:val="24"/>
        </w:rPr>
        <w:t>GB/T 11718-2009Medium Density Fiberboard</w:t>
      </w:r>
    </w:p>
    <w:p w:rsidR="00912DCB" w:rsidRPr="00912DCB" w:rsidRDefault="00912DCB" w:rsidP="00912DCB">
      <w:pPr>
        <w:shd w:val="clear" w:color="auto" w:fill="FFFFFF"/>
        <w:adjustRightInd w:val="0"/>
        <w:snapToGrid w:val="0"/>
        <w:spacing w:after="200" w:line="288" w:lineRule="auto"/>
        <w:ind w:left="567"/>
        <w:rPr>
          <w:rFonts w:ascii="Times New Roman" w:hAnsi="Times New Roman" w:cs="Times New Roman"/>
          <w:i/>
          <w:iCs/>
          <w:color w:val="333333"/>
          <w:sz w:val="24"/>
          <w:szCs w:val="24"/>
        </w:rPr>
      </w:pPr>
      <w:r w:rsidRPr="00912DCB">
        <w:rPr>
          <w:rFonts w:ascii="Times New Roman" w:hAnsi="Times New Roman" w:cs="Times New Roman"/>
          <w:i/>
          <w:iCs/>
          <w:color w:val="333333"/>
          <w:sz w:val="24"/>
          <w:szCs w:val="24"/>
        </w:rPr>
        <w:t xml:space="preserve">GB 18580-2017 Limit of Formaldehyde Emission </w:t>
      </w:r>
      <w:r w:rsidRPr="00912DCB">
        <w:rPr>
          <w:rFonts w:ascii="Times New Roman" w:hAnsi="Times New Roman" w:cs="Times New Roman"/>
          <w:color w:val="333333"/>
          <w:sz w:val="24"/>
          <w:szCs w:val="24"/>
        </w:rPr>
        <w:t>of</w:t>
      </w:r>
      <w:r w:rsidRPr="00912DCB">
        <w:rPr>
          <w:rFonts w:ascii="Times New Roman" w:hAnsi="Times New Roman" w:cs="Times New Roman"/>
          <w:i/>
          <w:iCs/>
          <w:color w:val="333333"/>
          <w:sz w:val="24"/>
          <w:szCs w:val="24"/>
        </w:rPr>
        <w:t xml:space="preserve"> Wood-based Panels and Relevant Products of Indoor Decorating and Refurbishing Materials</w:t>
      </w:r>
    </w:p>
    <w:p w:rsidR="00912DCB" w:rsidRPr="00912DCB" w:rsidRDefault="00912DCB" w:rsidP="00912DCB">
      <w:pPr>
        <w:pStyle w:val="1"/>
        <w:widowControl/>
        <w:numPr>
          <w:ilvl w:val="0"/>
          <w:numId w:val="5"/>
        </w:numPr>
        <w:shd w:val="clear" w:color="auto" w:fill="FFFFFF"/>
        <w:snapToGrid w:val="0"/>
        <w:spacing w:after="200" w:line="288" w:lineRule="auto"/>
        <w:ind w:left="567" w:firstLineChars="0" w:hanging="567"/>
        <w:rPr>
          <w:rFonts w:ascii="Times New Roman" w:hAnsi="Times New Roman"/>
          <w:color w:val="333333"/>
          <w:kern w:val="0"/>
          <w:sz w:val="24"/>
          <w:szCs w:val="24"/>
        </w:rPr>
      </w:pPr>
      <w:r w:rsidRPr="00912DCB">
        <w:rPr>
          <w:rFonts w:ascii="Times New Roman" w:hAnsi="Times New Roman"/>
          <w:b/>
          <w:bCs/>
          <w:color w:val="333333"/>
          <w:kern w:val="0"/>
          <w:sz w:val="24"/>
          <w:szCs w:val="24"/>
        </w:rPr>
        <w:t>Terms and definitions</w:t>
      </w:r>
    </w:p>
    <w:p w:rsidR="00912DCB" w:rsidRPr="00912DCB" w:rsidRDefault="00912DCB" w:rsidP="00912DCB">
      <w:pPr>
        <w:shd w:val="clear" w:color="auto" w:fill="FFFFFF"/>
        <w:adjustRightInd w:val="0"/>
        <w:snapToGrid w:val="0"/>
        <w:spacing w:after="200" w:line="288" w:lineRule="auto"/>
        <w:ind w:left="567"/>
        <w:rPr>
          <w:rFonts w:ascii="Times New Roman" w:hAnsi="Times New Roman" w:cs="Times New Roman"/>
          <w:color w:val="333333"/>
          <w:sz w:val="24"/>
          <w:szCs w:val="24"/>
        </w:rPr>
      </w:pPr>
      <w:r w:rsidRPr="00912DCB">
        <w:rPr>
          <w:rFonts w:ascii="Times New Roman" w:hAnsi="Times New Roman" w:cs="Times New Roman"/>
          <w:color w:val="333333"/>
          <w:sz w:val="24"/>
          <w:szCs w:val="24"/>
        </w:rPr>
        <w:t>Subject to the terms and definitions in</w:t>
      </w:r>
      <w:r w:rsidRPr="00912DCB">
        <w:rPr>
          <w:rFonts w:ascii="Times New Roman" w:hAnsi="Times New Roman" w:cs="Times New Roman"/>
          <w:i/>
          <w:iCs/>
          <w:color w:val="333333"/>
          <w:sz w:val="24"/>
          <w:szCs w:val="24"/>
        </w:rPr>
        <w:t>GB/T 11718-2009</w:t>
      </w:r>
      <w:r w:rsidRPr="00912DCB">
        <w:rPr>
          <w:rFonts w:ascii="Times New Roman" w:hAnsi="Times New Roman" w:cs="Times New Roman"/>
          <w:color w:val="333333"/>
          <w:sz w:val="24"/>
          <w:szCs w:val="24"/>
        </w:rPr>
        <w:t xml:space="preserve"> and </w:t>
      </w:r>
      <w:r w:rsidRPr="00912DCB">
        <w:rPr>
          <w:rFonts w:ascii="Times New Roman" w:hAnsi="Times New Roman" w:cs="Times New Roman"/>
          <w:i/>
          <w:iCs/>
          <w:color w:val="333333"/>
          <w:sz w:val="24"/>
          <w:szCs w:val="24"/>
        </w:rPr>
        <w:t>GB 18580-2017</w:t>
      </w:r>
      <w:r w:rsidRPr="00912DCB">
        <w:rPr>
          <w:rFonts w:ascii="Times New Roman" w:hAnsi="Times New Roman" w:cs="Times New Roman"/>
          <w:color w:val="333333"/>
          <w:sz w:val="24"/>
          <w:szCs w:val="24"/>
        </w:rPr>
        <w:t>.</w:t>
      </w:r>
    </w:p>
    <w:p w:rsidR="00912DCB" w:rsidRPr="00912DCB" w:rsidRDefault="00912DCB" w:rsidP="00912DCB">
      <w:pPr>
        <w:pStyle w:val="1"/>
        <w:widowControl/>
        <w:numPr>
          <w:ilvl w:val="0"/>
          <w:numId w:val="5"/>
        </w:numPr>
        <w:shd w:val="clear" w:color="auto" w:fill="FFFFFF"/>
        <w:snapToGrid w:val="0"/>
        <w:spacing w:after="200" w:line="288" w:lineRule="auto"/>
        <w:ind w:left="567" w:firstLineChars="0" w:hanging="567"/>
        <w:rPr>
          <w:rFonts w:ascii="Times New Roman" w:hAnsi="Times New Roman"/>
          <w:color w:val="333333"/>
          <w:kern w:val="0"/>
          <w:sz w:val="24"/>
          <w:szCs w:val="24"/>
        </w:rPr>
      </w:pPr>
      <w:r w:rsidRPr="00912DCB">
        <w:rPr>
          <w:rFonts w:ascii="Times New Roman" w:hAnsi="Times New Roman"/>
          <w:b/>
          <w:bCs/>
          <w:color w:val="333333"/>
          <w:kern w:val="0"/>
          <w:sz w:val="24"/>
          <w:szCs w:val="24"/>
        </w:rPr>
        <w:t>Quality requirements</w:t>
      </w:r>
    </w:p>
    <w:p w:rsidR="00912DCB" w:rsidRPr="00912DCB" w:rsidRDefault="00912DCB" w:rsidP="00912DCB">
      <w:pPr>
        <w:pStyle w:val="1"/>
        <w:widowControl/>
        <w:numPr>
          <w:ilvl w:val="0"/>
          <w:numId w:val="6"/>
        </w:numPr>
        <w:shd w:val="clear" w:color="auto" w:fill="FFFFFF"/>
        <w:snapToGrid w:val="0"/>
        <w:spacing w:after="200" w:line="288" w:lineRule="auto"/>
        <w:ind w:firstLineChars="0"/>
        <w:rPr>
          <w:rFonts w:ascii="Times New Roman" w:hAnsi="Times New Roman"/>
          <w:vanish/>
          <w:color w:val="333333"/>
          <w:kern w:val="0"/>
          <w:sz w:val="24"/>
          <w:szCs w:val="24"/>
        </w:rPr>
      </w:pPr>
    </w:p>
    <w:p w:rsidR="00912DCB" w:rsidRPr="00912DCB" w:rsidRDefault="00912DCB" w:rsidP="00912DCB">
      <w:pPr>
        <w:pStyle w:val="1"/>
        <w:widowControl/>
        <w:numPr>
          <w:ilvl w:val="0"/>
          <w:numId w:val="6"/>
        </w:numPr>
        <w:shd w:val="clear" w:color="auto" w:fill="FFFFFF"/>
        <w:snapToGrid w:val="0"/>
        <w:spacing w:after="200" w:line="288" w:lineRule="auto"/>
        <w:ind w:firstLineChars="0"/>
        <w:rPr>
          <w:rFonts w:ascii="Times New Roman" w:hAnsi="Times New Roman"/>
          <w:vanish/>
          <w:color w:val="333333"/>
          <w:kern w:val="0"/>
          <w:sz w:val="24"/>
          <w:szCs w:val="24"/>
        </w:rPr>
      </w:pPr>
    </w:p>
    <w:p w:rsidR="00912DCB" w:rsidRPr="00912DCB" w:rsidRDefault="00912DCB" w:rsidP="00912DCB">
      <w:pPr>
        <w:pStyle w:val="1"/>
        <w:widowControl/>
        <w:numPr>
          <w:ilvl w:val="0"/>
          <w:numId w:val="6"/>
        </w:numPr>
        <w:shd w:val="clear" w:color="auto" w:fill="FFFFFF"/>
        <w:snapToGrid w:val="0"/>
        <w:spacing w:after="200" w:line="288" w:lineRule="auto"/>
        <w:ind w:firstLineChars="0"/>
        <w:rPr>
          <w:rFonts w:ascii="Times New Roman" w:hAnsi="Times New Roman"/>
          <w:vanish/>
          <w:color w:val="333333"/>
          <w:kern w:val="0"/>
          <w:sz w:val="24"/>
          <w:szCs w:val="24"/>
        </w:rPr>
      </w:pPr>
    </w:p>
    <w:p w:rsidR="00912DCB" w:rsidRPr="00912DCB" w:rsidRDefault="00912DCB" w:rsidP="00912DCB">
      <w:pPr>
        <w:pStyle w:val="1"/>
        <w:widowControl/>
        <w:numPr>
          <w:ilvl w:val="1"/>
          <w:numId w:val="6"/>
        </w:numPr>
        <w:shd w:val="clear" w:color="auto" w:fill="FFFFFF"/>
        <w:adjustRightInd w:val="0"/>
        <w:snapToGrid w:val="0"/>
        <w:spacing w:after="200" w:line="288" w:lineRule="auto"/>
        <w:ind w:left="567" w:firstLineChars="0"/>
        <w:rPr>
          <w:rFonts w:ascii="Times New Roman" w:hAnsi="Times New Roman"/>
          <w:color w:val="333333"/>
          <w:kern w:val="0"/>
          <w:sz w:val="24"/>
          <w:szCs w:val="24"/>
        </w:rPr>
      </w:pPr>
      <w:r w:rsidRPr="00912DCB">
        <w:rPr>
          <w:rFonts w:ascii="Times New Roman" w:hAnsi="Times New Roman"/>
          <w:color w:val="333333"/>
          <w:kern w:val="0"/>
          <w:sz w:val="24"/>
          <w:szCs w:val="24"/>
        </w:rPr>
        <w:t>Appearance quality</w:t>
      </w:r>
    </w:p>
    <w:p w:rsidR="00912DCB" w:rsidRPr="00912DCB" w:rsidRDefault="00912DCB" w:rsidP="00912DCB">
      <w:pPr>
        <w:pStyle w:val="1"/>
        <w:widowControl/>
        <w:shd w:val="clear" w:color="auto" w:fill="FFFFFF"/>
        <w:adjustRightInd w:val="0"/>
        <w:snapToGrid w:val="0"/>
        <w:spacing w:after="200" w:line="288" w:lineRule="auto"/>
        <w:ind w:left="567" w:firstLineChars="0" w:firstLine="0"/>
        <w:rPr>
          <w:rFonts w:ascii="Times New Roman" w:hAnsi="Times New Roman"/>
          <w:color w:val="333333"/>
          <w:kern w:val="0"/>
          <w:sz w:val="24"/>
          <w:szCs w:val="24"/>
        </w:rPr>
      </w:pPr>
      <w:r w:rsidRPr="00912DCB">
        <w:rPr>
          <w:rFonts w:ascii="Times New Roman" w:hAnsi="Times New Roman"/>
          <w:color w:val="333333"/>
          <w:kern w:val="0"/>
          <w:sz w:val="24"/>
          <w:szCs w:val="24"/>
        </w:rPr>
        <w:t>The surface shall be sanded and shall meet the following standards:</w:t>
      </w:r>
    </w:p>
    <w:tbl>
      <w:tblPr>
        <w:tblW w:w="7934"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965"/>
      </w:tblGrid>
      <w:tr w:rsidR="00912DCB" w:rsidRPr="00912DCB" w:rsidTr="00912DCB">
        <w:tc>
          <w:tcPr>
            <w:tcW w:w="3969"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b/>
                <w:bCs/>
                <w:color w:val="333333"/>
                <w:kern w:val="0"/>
                <w:sz w:val="24"/>
                <w:szCs w:val="24"/>
              </w:rPr>
            </w:pPr>
            <w:r w:rsidRPr="00912DCB">
              <w:rPr>
                <w:rFonts w:ascii="Times New Roman" w:eastAsia="等线" w:hAnsi="Times New Roman"/>
                <w:b/>
                <w:bCs/>
                <w:color w:val="333333"/>
                <w:kern w:val="0"/>
                <w:sz w:val="24"/>
                <w:szCs w:val="24"/>
              </w:rPr>
              <w:t>Name</w:t>
            </w:r>
          </w:p>
        </w:tc>
        <w:tc>
          <w:tcPr>
            <w:tcW w:w="3965"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b/>
                <w:bCs/>
                <w:color w:val="333333"/>
                <w:kern w:val="0"/>
                <w:sz w:val="24"/>
                <w:szCs w:val="24"/>
              </w:rPr>
            </w:pPr>
            <w:r w:rsidRPr="00912DCB">
              <w:rPr>
                <w:rFonts w:ascii="Times New Roman" w:eastAsia="等线" w:hAnsi="Times New Roman"/>
                <w:b/>
                <w:bCs/>
                <w:color w:val="333333"/>
                <w:kern w:val="0"/>
                <w:sz w:val="24"/>
                <w:szCs w:val="24"/>
              </w:rPr>
              <w:t>Quality requirement</w:t>
            </w:r>
          </w:p>
        </w:tc>
      </w:tr>
      <w:tr w:rsidR="00912DCB" w:rsidRPr="00912DCB" w:rsidTr="00912DCB">
        <w:tc>
          <w:tcPr>
            <w:tcW w:w="3969"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Lamination</w:t>
            </w:r>
            <w:r w:rsidRPr="00912DCB">
              <w:rPr>
                <w:rFonts w:ascii="Times New Roman" w:eastAsia="等线" w:hAnsi="Times New Roman"/>
                <w:color w:val="333333"/>
                <w:kern w:val="0"/>
                <w:sz w:val="24"/>
                <w:szCs w:val="24"/>
              </w:rPr>
              <w:t>，</w:t>
            </w:r>
            <w:r w:rsidRPr="00912DCB">
              <w:rPr>
                <w:rFonts w:ascii="Times New Roman" w:eastAsia="等线" w:hAnsi="Times New Roman"/>
                <w:color w:val="333333"/>
                <w:kern w:val="0"/>
                <w:sz w:val="24"/>
                <w:szCs w:val="24"/>
              </w:rPr>
              <w:t>bubbling or charring</w:t>
            </w:r>
          </w:p>
        </w:tc>
        <w:tc>
          <w:tcPr>
            <w:tcW w:w="3965" w:type="dxa"/>
            <w:vMerge w:val="restart"/>
            <w:tcBorders>
              <w:top w:val="nil"/>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Not allowed</w:t>
            </w:r>
          </w:p>
        </w:tc>
      </w:tr>
      <w:tr w:rsidR="00912DCB" w:rsidRPr="00912DCB" w:rsidTr="00912DCB">
        <w:tc>
          <w:tcPr>
            <w:tcW w:w="3969"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Flabbiness in some parts</w:t>
            </w:r>
          </w:p>
        </w:tc>
        <w:tc>
          <w:tcPr>
            <w:tcW w:w="3965" w:type="dxa"/>
            <w:vMerge/>
            <w:tcBorders>
              <w:top w:val="nil"/>
              <w:left w:val="nil"/>
              <w:bottom w:val="single" w:sz="4" w:space="0" w:color="auto"/>
              <w:right w:val="single" w:sz="4" w:space="0" w:color="auto"/>
            </w:tcBorders>
            <w:vAlign w:val="center"/>
            <w:hideMark/>
          </w:tcPr>
          <w:p w:rsidR="00912DCB" w:rsidRPr="00912DCB" w:rsidRDefault="00912DCB">
            <w:pPr>
              <w:jc w:val="left"/>
              <w:rPr>
                <w:rFonts w:ascii="Times New Roman" w:hAnsi="Times New Roman" w:cs="Times New Roman"/>
                <w:color w:val="333333"/>
                <w:sz w:val="24"/>
                <w:szCs w:val="24"/>
              </w:rPr>
            </w:pPr>
          </w:p>
        </w:tc>
      </w:tr>
      <w:tr w:rsidR="00912DCB" w:rsidRPr="00912DCB" w:rsidTr="00912DCB">
        <w:tc>
          <w:tcPr>
            <w:tcW w:w="3969"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Board edge defect</w:t>
            </w:r>
          </w:p>
        </w:tc>
        <w:tc>
          <w:tcPr>
            <w:tcW w:w="3965" w:type="dxa"/>
            <w:vMerge/>
            <w:tcBorders>
              <w:top w:val="nil"/>
              <w:left w:val="nil"/>
              <w:bottom w:val="single" w:sz="4" w:space="0" w:color="auto"/>
              <w:right w:val="single" w:sz="4" w:space="0" w:color="auto"/>
            </w:tcBorders>
            <w:vAlign w:val="center"/>
            <w:hideMark/>
          </w:tcPr>
          <w:p w:rsidR="00912DCB" w:rsidRPr="00912DCB" w:rsidRDefault="00912DCB">
            <w:pPr>
              <w:jc w:val="left"/>
              <w:rPr>
                <w:rFonts w:ascii="Times New Roman" w:hAnsi="Times New Roman" w:cs="Times New Roman"/>
                <w:color w:val="333333"/>
                <w:sz w:val="24"/>
                <w:szCs w:val="24"/>
              </w:rPr>
            </w:pPr>
          </w:p>
        </w:tc>
      </w:tr>
      <w:tr w:rsidR="00912DCB" w:rsidRPr="00912DCB" w:rsidTr="00912DCB">
        <w:tc>
          <w:tcPr>
            <w:tcW w:w="3969"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Oil stains or foreign matters</w:t>
            </w:r>
          </w:p>
        </w:tc>
        <w:tc>
          <w:tcPr>
            <w:tcW w:w="3965" w:type="dxa"/>
            <w:vMerge/>
            <w:tcBorders>
              <w:top w:val="nil"/>
              <w:left w:val="nil"/>
              <w:bottom w:val="single" w:sz="4" w:space="0" w:color="auto"/>
              <w:right w:val="single" w:sz="4" w:space="0" w:color="auto"/>
            </w:tcBorders>
            <w:vAlign w:val="center"/>
            <w:hideMark/>
          </w:tcPr>
          <w:p w:rsidR="00912DCB" w:rsidRPr="00912DCB" w:rsidRDefault="00912DCB">
            <w:pPr>
              <w:jc w:val="left"/>
              <w:rPr>
                <w:rFonts w:ascii="Times New Roman" w:hAnsi="Times New Roman" w:cs="Times New Roman"/>
                <w:color w:val="333333"/>
                <w:sz w:val="24"/>
                <w:szCs w:val="24"/>
              </w:rPr>
            </w:pPr>
          </w:p>
        </w:tc>
      </w:tr>
      <w:tr w:rsidR="00912DCB" w:rsidRPr="00912DCB" w:rsidTr="00912DCB">
        <w:tc>
          <w:tcPr>
            <w:tcW w:w="3969"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Impression</w:t>
            </w:r>
          </w:p>
        </w:tc>
        <w:tc>
          <w:tcPr>
            <w:tcW w:w="3965" w:type="dxa"/>
            <w:vMerge/>
            <w:tcBorders>
              <w:top w:val="nil"/>
              <w:left w:val="nil"/>
              <w:bottom w:val="single" w:sz="4" w:space="0" w:color="auto"/>
              <w:right w:val="single" w:sz="4" w:space="0" w:color="auto"/>
            </w:tcBorders>
            <w:vAlign w:val="center"/>
            <w:hideMark/>
          </w:tcPr>
          <w:p w:rsidR="00912DCB" w:rsidRPr="00912DCB" w:rsidRDefault="00912DCB">
            <w:pPr>
              <w:jc w:val="left"/>
              <w:rPr>
                <w:rFonts w:ascii="Times New Roman" w:hAnsi="Times New Roman" w:cs="Times New Roman"/>
                <w:color w:val="333333"/>
                <w:sz w:val="24"/>
                <w:szCs w:val="24"/>
              </w:rPr>
            </w:pPr>
          </w:p>
        </w:tc>
      </w:tr>
    </w:tbl>
    <w:p w:rsidR="00912DCB" w:rsidRPr="00912DCB" w:rsidRDefault="00912DCB" w:rsidP="00912DCB">
      <w:pPr>
        <w:pStyle w:val="1"/>
        <w:widowControl/>
        <w:shd w:val="clear" w:color="auto" w:fill="FFFFFF"/>
        <w:adjustRightInd w:val="0"/>
        <w:snapToGrid w:val="0"/>
        <w:spacing w:after="200" w:line="288" w:lineRule="auto"/>
        <w:ind w:left="567" w:firstLineChars="0" w:firstLine="0"/>
        <w:rPr>
          <w:rFonts w:ascii="Times New Roman" w:hAnsi="Times New Roman"/>
          <w:color w:val="333333"/>
          <w:kern w:val="0"/>
          <w:sz w:val="24"/>
          <w:szCs w:val="24"/>
        </w:rPr>
      </w:pPr>
      <w:r w:rsidRPr="00912DCB">
        <w:rPr>
          <w:rFonts w:ascii="Times New Roman" w:hAnsi="Times New Roman"/>
          <w:color w:val="333333"/>
          <w:kern w:val="0"/>
          <w:sz w:val="24"/>
          <w:szCs w:val="24"/>
        </w:rPr>
        <w:lastRenderedPageBreak/>
        <w:t xml:space="preserve"> </w:t>
      </w:r>
    </w:p>
    <w:p w:rsidR="00912DCB" w:rsidRPr="00912DCB" w:rsidRDefault="00912DCB" w:rsidP="00912DCB">
      <w:pPr>
        <w:pStyle w:val="1"/>
        <w:widowControl/>
        <w:numPr>
          <w:ilvl w:val="1"/>
          <w:numId w:val="6"/>
        </w:numPr>
        <w:shd w:val="clear" w:color="auto" w:fill="FFFFFF"/>
        <w:adjustRightInd w:val="0"/>
        <w:snapToGrid w:val="0"/>
        <w:spacing w:after="200" w:line="288" w:lineRule="auto"/>
        <w:ind w:left="567" w:firstLineChars="0"/>
        <w:rPr>
          <w:rFonts w:ascii="Times New Roman" w:hAnsi="Times New Roman"/>
          <w:color w:val="333333"/>
          <w:kern w:val="0"/>
          <w:sz w:val="24"/>
          <w:szCs w:val="24"/>
        </w:rPr>
      </w:pPr>
      <w:r w:rsidRPr="00912DCB">
        <w:rPr>
          <w:rFonts w:ascii="Times New Roman" w:hAnsi="Times New Roman"/>
          <w:color w:val="333333"/>
          <w:kern w:val="0"/>
          <w:sz w:val="24"/>
          <w:szCs w:val="24"/>
        </w:rPr>
        <w:t>Size of surface and thickness</w:t>
      </w:r>
    </w:p>
    <w:tbl>
      <w:tblPr>
        <w:tblW w:w="7934"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2609"/>
        <w:gridCol w:w="2677"/>
      </w:tblGrid>
      <w:tr w:rsidR="00912DCB" w:rsidRPr="00912DCB" w:rsidTr="00912DCB">
        <w:tc>
          <w:tcPr>
            <w:tcW w:w="2648"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b/>
                <w:bCs/>
                <w:color w:val="333333"/>
                <w:kern w:val="0"/>
                <w:sz w:val="24"/>
                <w:szCs w:val="24"/>
              </w:rPr>
            </w:pPr>
            <w:r w:rsidRPr="00912DCB">
              <w:rPr>
                <w:rFonts w:ascii="Times New Roman" w:eastAsia="等线" w:hAnsi="Times New Roman"/>
                <w:b/>
                <w:bCs/>
                <w:color w:val="333333"/>
                <w:kern w:val="0"/>
                <w:sz w:val="24"/>
                <w:szCs w:val="24"/>
              </w:rPr>
              <w:t>Item</w:t>
            </w:r>
          </w:p>
        </w:tc>
        <w:tc>
          <w:tcPr>
            <w:tcW w:w="2609"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b/>
                <w:bCs/>
                <w:color w:val="333333"/>
                <w:kern w:val="0"/>
                <w:sz w:val="24"/>
                <w:szCs w:val="24"/>
              </w:rPr>
            </w:pPr>
            <w:r w:rsidRPr="00912DCB">
              <w:rPr>
                <w:rFonts w:ascii="Times New Roman" w:eastAsia="等线" w:hAnsi="Times New Roman"/>
                <w:b/>
                <w:bCs/>
                <w:color w:val="333333"/>
                <w:kern w:val="0"/>
                <w:sz w:val="24"/>
                <w:szCs w:val="24"/>
              </w:rPr>
              <w:t>Unit</w:t>
            </w:r>
          </w:p>
        </w:tc>
        <w:tc>
          <w:tcPr>
            <w:tcW w:w="2677"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b/>
                <w:bCs/>
                <w:color w:val="333333"/>
                <w:kern w:val="0"/>
                <w:sz w:val="24"/>
                <w:szCs w:val="24"/>
              </w:rPr>
            </w:pPr>
            <w:r w:rsidRPr="00912DCB">
              <w:rPr>
                <w:rFonts w:ascii="Times New Roman" w:eastAsia="等线" w:hAnsi="Times New Roman"/>
                <w:b/>
                <w:bCs/>
                <w:color w:val="333333"/>
                <w:kern w:val="0"/>
                <w:sz w:val="24"/>
                <w:szCs w:val="24"/>
              </w:rPr>
              <w:t>Requirement</w:t>
            </w:r>
          </w:p>
        </w:tc>
      </w:tr>
      <w:tr w:rsidR="00912DCB" w:rsidRPr="00912DCB" w:rsidTr="00912DCB">
        <w:tc>
          <w:tcPr>
            <w:tcW w:w="2648"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Length</w:t>
            </w:r>
          </w:p>
        </w:tc>
        <w:tc>
          <w:tcPr>
            <w:tcW w:w="2609"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mm</w:t>
            </w:r>
          </w:p>
        </w:tc>
        <w:tc>
          <w:tcPr>
            <w:tcW w:w="2677"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2440</w:t>
            </w:r>
          </w:p>
        </w:tc>
      </w:tr>
      <w:tr w:rsidR="00912DCB" w:rsidRPr="00912DCB" w:rsidTr="00912DCB">
        <w:tc>
          <w:tcPr>
            <w:tcW w:w="2648"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Breadth</w:t>
            </w:r>
          </w:p>
        </w:tc>
        <w:tc>
          <w:tcPr>
            <w:tcW w:w="2609"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mm</w:t>
            </w:r>
          </w:p>
        </w:tc>
        <w:tc>
          <w:tcPr>
            <w:tcW w:w="2677"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1220</w:t>
            </w:r>
          </w:p>
        </w:tc>
      </w:tr>
      <w:tr w:rsidR="00912DCB" w:rsidRPr="00912DCB" w:rsidTr="00912DCB">
        <w:tc>
          <w:tcPr>
            <w:tcW w:w="2648"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Thickness</w:t>
            </w:r>
          </w:p>
        </w:tc>
        <w:tc>
          <w:tcPr>
            <w:tcW w:w="2609"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mm</w:t>
            </w:r>
          </w:p>
        </w:tc>
        <w:tc>
          <w:tcPr>
            <w:tcW w:w="2677"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12, 15, 18</w:t>
            </w:r>
          </w:p>
        </w:tc>
      </w:tr>
    </w:tbl>
    <w:p w:rsidR="00912DCB" w:rsidRPr="00912DCB" w:rsidRDefault="00912DCB" w:rsidP="00912DCB">
      <w:pPr>
        <w:pStyle w:val="1"/>
        <w:widowControl/>
        <w:shd w:val="clear" w:color="auto" w:fill="FFFFFF"/>
        <w:adjustRightInd w:val="0"/>
        <w:snapToGrid w:val="0"/>
        <w:spacing w:after="200" w:line="288" w:lineRule="auto"/>
        <w:ind w:left="567" w:firstLineChars="0" w:firstLine="0"/>
        <w:rPr>
          <w:rFonts w:ascii="Times New Roman" w:hAnsi="Times New Roman"/>
          <w:color w:val="333333"/>
          <w:kern w:val="0"/>
          <w:sz w:val="24"/>
          <w:szCs w:val="24"/>
        </w:rPr>
      </w:pPr>
      <w:r w:rsidRPr="00912DCB">
        <w:rPr>
          <w:rFonts w:ascii="Times New Roman" w:hAnsi="Times New Roman"/>
          <w:color w:val="333333"/>
          <w:kern w:val="0"/>
          <w:sz w:val="24"/>
          <w:szCs w:val="24"/>
        </w:rPr>
        <w:t xml:space="preserve"> </w:t>
      </w:r>
    </w:p>
    <w:p w:rsidR="00912DCB" w:rsidRPr="00912DCB" w:rsidRDefault="00912DCB" w:rsidP="00912DCB">
      <w:pPr>
        <w:pStyle w:val="1"/>
        <w:widowControl/>
        <w:numPr>
          <w:ilvl w:val="1"/>
          <w:numId w:val="6"/>
        </w:numPr>
        <w:shd w:val="clear" w:color="auto" w:fill="FFFFFF"/>
        <w:adjustRightInd w:val="0"/>
        <w:snapToGrid w:val="0"/>
        <w:spacing w:after="200" w:line="288" w:lineRule="auto"/>
        <w:ind w:left="567" w:firstLineChars="0"/>
        <w:rPr>
          <w:rFonts w:ascii="Times New Roman" w:hAnsi="Times New Roman"/>
          <w:color w:val="333333"/>
          <w:kern w:val="0"/>
          <w:sz w:val="24"/>
          <w:szCs w:val="24"/>
        </w:rPr>
      </w:pPr>
      <w:r w:rsidRPr="00912DCB">
        <w:rPr>
          <w:rFonts w:ascii="Times New Roman" w:hAnsi="Times New Roman"/>
          <w:color w:val="333333"/>
          <w:kern w:val="0"/>
          <w:sz w:val="24"/>
          <w:szCs w:val="24"/>
        </w:rPr>
        <w:t>Size deviation, density and its deviation, and moisture level</w:t>
      </w:r>
    </w:p>
    <w:tbl>
      <w:tblPr>
        <w:tblW w:w="770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2530"/>
        <w:gridCol w:w="1291"/>
        <w:gridCol w:w="1291"/>
      </w:tblGrid>
      <w:tr w:rsidR="00912DCB" w:rsidRPr="00912DCB" w:rsidTr="00912DCB">
        <w:tc>
          <w:tcPr>
            <w:tcW w:w="2596" w:type="dxa"/>
            <w:vMerge w:val="restart"/>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b/>
                <w:bCs/>
                <w:color w:val="333333"/>
                <w:kern w:val="0"/>
                <w:sz w:val="24"/>
                <w:szCs w:val="24"/>
              </w:rPr>
            </w:pPr>
            <w:r w:rsidRPr="00912DCB">
              <w:rPr>
                <w:rFonts w:ascii="Times New Roman" w:eastAsia="等线" w:hAnsi="Times New Roman"/>
                <w:b/>
                <w:bCs/>
                <w:color w:val="333333"/>
                <w:kern w:val="0"/>
                <w:sz w:val="24"/>
                <w:szCs w:val="24"/>
              </w:rPr>
              <w:t>Property</w:t>
            </w:r>
          </w:p>
        </w:tc>
        <w:tc>
          <w:tcPr>
            <w:tcW w:w="2530" w:type="dxa"/>
            <w:vMerge w:val="restart"/>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b/>
                <w:bCs/>
                <w:color w:val="333333"/>
                <w:kern w:val="0"/>
                <w:sz w:val="24"/>
                <w:szCs w:val="24"/>
              </w:rPr>
            </w:pPr>
            <w:r w:rsidRPr="00912DCB">
              <w:rPr>
                <w:rFonts w:ascii="Times New Roman" w:eastAsia="等线" w:hAnsi="Times New Roman"/>
                <w:b/>
                <w:bCs/>
                <w:color w:val="333333"/>
                <w:kern w:val="0"/>
                <w:sz w:val="24"/>
                <w:szCs w:val="24"/>
              </w:rPr>
              <w:t>Unit</w:t>
            </w:r>
          </w:p>
        </w:tc>
        <w:tc>
          <w:tcPr>
            <w:tcW w:w="2582" w:type="dxa"/>
            <w:gridSpan w:val="2"/>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b/>
                <w:bCs/>
                <w:color w:val="333333"/>
                <w:kern w:val="0"/>
                <w:sz w:val="24"/>
                <w:szCs w:val="24"/>
              </w:rPr>
            </w:pPr>
            <w:r w:rsidRPr="00912DCB">
              <w:rPr>
                <w:rFonts w:ascii="Times New Roman" w:eastAsia="等线" w:hAnsi="Times New Roman"/>
                <w:b/>
                <w:bCs/>
                <w:color w:val="333333"/>
                <w:kern w:val="0"/>
                <w:sz w:val="24"/>
                <w:szCs w:val="24"/>
              </w:rPr>
              <w:t>Nominal thickness</w:t>
            </w:r>
          </w:p>
        </w:tc>
      </w:tr>
      <w:tr w:rsidR="00912DCB" w:rsidRPr="00912DCB" w:rsidTr="00912DCB">
        <w:tc>
          <w:tcPr>
            <w:tcW w:w="7708" w:type="dxa"/>
            <w:vMerge/>
            <w:tcBorders>
              <w:top w:val="single" w:sz="4" w:space="0" w:color="auto"/>
              <w:left w:val="single" w:sz="4" w:space="0" w:color="auto"/>
              <w:bottom w:val="single" w:sz="4" w:space="0" w:color="auto"/>
              <w:right w:val="single" w:sz="4" w:space="0" w:color="auto"/>
            </w:tcBorders>
            <w:vAlign w:val="center"/>
            <w:hideMark/>
          </w:tcPr>
          <w:p w:rsidR="00912DCB" w:rsidRPr="00912DCB" w:rsidRDefault="00912DCB">
            <w:pPr>
              <w:jc w:val="left"/>
              <w:rPr>
                <w:rFonts w:ascii="Times New Roman" w:hAnsi="Times New Roman" w:cs="Times New Roman"/>
                <w:b/>
                <w:bCs/>
                <w:color w:val="333333"/>
                <w:sz w:val="24"/>
                <w:szCs w:val="24"/>
              </w:rPr>
            </w:pPr>
          </w:p>
        </w:tc>
        <w:tc>
          <w:tcPr>
            <w:tcW w:w="2530" w:type="dxa"/>
            <w:vMerge/>
            <w:tcBorders>
              <w:top w:val="single" w:sz="4" w:space="0" w:color="auto"/>
              <w:left w:val="nil"/>
              <w:bottom w:val="single" w:sz="4" w:space="0" w:color="auto"/>
              <w:right w:val="single" w:sz="4" w:space="0" w:color="auto"/>
            </w:tcBorders>
            <w:vAlign w:val="center"/>
            <w:hideMark/>
          </w:tcPr>
          <w:p w:rsidR="00912DCB" w:rsidRPr="00912DCB" w:rsidRDefault="00912DCB">
            <w:pPr>
              <w:jc w:val="left"/>
              <w:rPr>
                <w:rFonts w:ascii="Times New Roman" w:hAnsi="Times New Roman" w:cs="Times New Roman"/>
                <w:b/>
                <w:bCs/>
                <w:color w:val="333333"/>
                <w:sz w:val="24"/>
                <w:szCs w:val="24"/>
              </w:rPr>
            </w:pPr>
          </w:p>
        </w:tc>
        <w:tc>
          <w:tcPr>
            <w:tcW w:w="1291"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12mm</w:t>
            </w:r>
          </w:p>
        </w:tc>
        <w:tc>
          <w:tcPr>
            <w:tcW w:w="1291"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15mm, 18mm</w:t>
            </w:r>
          </w:p>
        </w:tc>
      </w:tr>
      <w:tr w:rsidR="00912DCB" w:rsidRPr="00912DCB" w:rsidTr="00912DCB">
        <w:tc>
          <w:tcPr>
            <w:tcW w:w="2596"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Thickness deviation</w:t>
            </w:r>
          </w:p>
        </w:tc>
        <w:tc>
          <w:tcPr>
            <w:tcW w:w="253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mm</w:t>
            </w:r>
          </w:p>
        </w:tc>
        <w:tc>
          <w:tcPr>
            <w:tcW w:w="1291"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±0.20</w:t>
            </w:r>
          </w:p>
        </w:tc>
        <w:tc>
          <w:tcPr>
            <w:tcW w:w="1291"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±0.30</w:t>
            </w:r>
          </w:p>
        </w:tc>
      </w:tr>
      <w:tr w:rsidR="00912DCB" w:rsidRPr="00912DCB" w:rsidTr="00912DCB">
        <w:tc>
          <w:tcPr>
            <w:tcW w:w="2596"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Length and breadth deviation</w:t>
            </w:r>
          </w:p>
        </w:tc>
        <w:tc>
          <w:tcPr>
            <w:tcW w:w="253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mm/m</w:t>
            </w:r>
          </w:p>
        </w:tc>
        <w:tc>
          <w:tcPr>
            <w:tcW w:w="2582" w:type="dxa"/>
            <w:gridSpan w:val="2"/>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±2.0</w:t>
            </w:r>
          </w:p>
        </w:tc>
      </w:tr>
      <w:tr w:rsidR="00912DCB" w:rsidRPr="00912DCB" w:rsidTr="00912DCB">
        <w:tc>
          <w:tcPr>
            <w:tcW w:w="2596"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Verticality</w:t>
            </w:r>
          </w:p>
        </w:tc>
        <w:tc>
          <w:tcPr>
            <w:tcW w:w="253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mm/m</w:t>
            </w:r>
          </w:p>
        </w:tc>
        <w:tc>
          <w:tcPr>
            <w:tcW w:w="2582" w:type="dxa"/>
            <w:gridSpan w:val="2"/>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w:t>
            </w:r>
            <w:r w:rsidRPr="00912DCB">
              <w:rPr>
                <w:rFonts w:ascii="Times New Roman" w:eastAsia="等线" w:hAnsi="Times New Roman"/>
                <w:color w:val="333333"/>
                <w:kern w:val="0"/>
                <w:sz w:val="24"/>
                <w:szCs w:val="24"/>
              </w:rPr>
              <w:t>2.0</w:t>
            </w:r>
          </w:p>
        </w:tc>
      </w:tr>
      <w:tr w:rsidR="00912DCB" w:rsidRPr="00912DCB" w:rsidTr="00912DCB">
        <w:tc>
          <w:tcPr>
            <w:tcW w:w="2596"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Density</w:t>
            </w:r>
          </w:p>
        </w:tc>
        <w:tc>
          <w:tcPr>
            <w:tcW w:w="253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g/cm</w:t>
            </w:r>
            <w:r w:rsidRPr="00912DCB">
              <w:rPr>
                <w:rFonts w:ascii="Times New Roman" w:eastAsia="等线" w:hAnsi="Times New Roman"/>
                <w:color w:val="333333"/>
                <w:kern w:val="0"/>
                <w:sz w:val="24"/>
                <w:szCs w:val="24"/>
                <w:vertAlign w:val="superscript"/>
              </w:rPr>
              <w:t>3</w:t>
            </w:r>
          </w:p>
        </w:tc>
        <w:tc>
          <w:tcPr>
            <w:tcW w:w="2582" w:type="dxa"/>
            <w:gridSpan w:val="2"/>
            <w:tcBorders>
              <w:top w:val="single" w:sz="4" w:space="0" w:color="auto"/>
              <w:left w:val="nil"/>
              <w:bottom w:val="single" w:sz="4" w:space="0" w:color="auto"/>
              <w:right w:val="single" w:sz="4" w:space="0" w:color="auto"/>
            </w:tcBorders>
            <w:hideMark/>
          </w:tcPr>
          <w:p w:rsidR="00912DCB" w:rsidRPr="00912DCB" w:rsidRDefault="00912DCB">
            <w:pPr>
              <w:snapToGrid w:val="0"/>
              <w:spacing w:after="200" w:line="288" w:lineRule="auto"/>
              <w:ind w:firstLine="480"/>
              <w:jc w:val="center"/>
              <w:rPr>
                <w:rFonts w:ascii="Times New Roman" w:eastAsia="等线" w:hAnsi="Times New Roman" w:cs="Times New Roman"/>
                <w:color w:val="333333"/>
                <w:sz w:val="24"/>
                <w:szCs w:val="24"/>
              </w:rPr>
            </w:pPr>
            <w:r w:rsidRPr="00912DCB">
              <w:rPr>
                <w:rFonts w:ascii="Times New Roman" w:eastAsia="等线" w:hAnsi="Times New Roman" w:cs="Times New Roman"/>
                <w:color w:val="333333"/>
                <w:sz w:val="24"/>
                <w:szCs w:val="24"/>
              </w:rPr>
              <w:t>0.65-0.80</w:t>
            </w:r>
          </w:p>
        </w:tc>
      </w:tr>
      <w:tr w:rsidR="00912DCB" w:rsidRPr="00912DCB" w:rsidTr="00912DCB">
        <w:tc>
          <w:tcPr>
            <w:tcW w:w="2596"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Density deviation within  board</w:t>
            </w:r>
          </w:p>
        </w:tc>
        <w:tc>
          <w:tcPr>
            <w:tcW w:w="253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w:t>
            </w:r>
          </w:p>
        </w:tc>
        <w:tc>
          <w:tcPr>
            <w:tcW w:w="2582" w:type="dxa"/>
            <w:gridSpan w:val="2"/>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±10.0</w:t>
            </w:r>
          </w:p>
        </w:tc>
      </w:tr>
      <w:tr w:rsidR="00912DCB" w:rsidRPr="00912DCB" w:rsidTr="00912DCB">
        <w:tc>
          <w:tcPr>
            <w:tcW w:w="2596"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Moisture level</w:t>
            </w:r>
          </w:p>
        </w:tc>
        <w:tc>
          <w:tcPr>
            <w:tcW w:w="253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w:t>
            </w:r>
          </w:p>
        </w:tc>
        <w:tc>
          <w:tcPr>
            <w:tcW w:w="2582" w:type="dxa"/>
            <w:gridSpan w:val="2"/>
            <w:tcBorders>
              <w:top w:val="single" w:sz="4" w:space="0" w:color="auto"/>
              <w:left w:val="nil"/>
              <w:bottom w:val="single" w:sz="4" w:space="0" w:color="auto"/>
              <w:right w:val="single" w:sz="4" w:space="0" w:color="auto"/>
            </w:tcBorders>
            <w:hideMark/>
          </w:tcPr>
          <w:p w:rsidR="00912DCB" w:rsidRPr="00912DCB" w:rsidRDefault="00912DCB">
            <w:pPr>
              <w:snapToGrid w:val="0"/>
              <w:spacing w:after="200" w:line="288" w:lineRule="auto"/>
              <w:ind w:firstLine="480"/>
              <w:jc w:val="center"/>
              <w:rPr>
                <w:rFonts w:ascii="Times New Roman" w:eastAsia="等线" w:hAnsi="Times New Roman" w:cs="Times New Roman"/>
                <w:color w:val="333333"/>
                <w:sz w:val="24"/>
                <w:szCs w:val="24"/>
              </w:rPr>
            </w:pPr>
            <w:r w:rsidRPr="00912DCB">
              <w:rPr>
                <w:rFonts w:ascii="Times New Roman" w:eastAsia="等线" w:hAnsi="Times New Roman" w:cs="Times New Roman"/>
                <w:color w:val="333333"/>
                <w:sz w:val="24"/>
                <w:szCs w:val="24"/>
              </w:rPr>
              <w:t>3.0-13.0</w:t>
            </w:r>
          </w:p>
        </w:tc>
      </w:tr>
      <w:tr w:rsidR="00912DCB" w:rsidRPr="00912DCB" w:rsidTr="00912DCB">
        <w:tc>
          <w:tcPr>
            <w:tcW w:w="7708" w:type="dxa"/>
            <w:gridSpan w:val="4"/>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left"/>
              <w:rPr>
                <w:rFonts w:ascii="Times New Roman" w:hAnsi="Times New Roman"/>
                <w:color w:val="333333"/>
                <w:kern w:val="0"/>
                <w:sz w:val="24"/>
                <w:szCs w:val="24"/>
              </w:rPr>
            </w:pPr>
            <w:r w:rsidRPr="00912DCB">
              <w:rPr>
                <w:rFonts w:ascii="Times New Roman" w:eastAsia="等线" w:hAnsi="Times New Roman"/>
                <w:color w:val="333333"/>
                <w:kern w:val="0"/>
                <w:sz w:val="24"/>
                <w:szCs w:val="24"/>
              </w:rPr>
              <w:t>The thickness of each measurement point within each sanded board shall not exceed ±0.15mm of their arithmetic mean value</w:t>
            </w:r>
          </w:p>
        </w:tc>
      </w:tr>
    </w:tbl>
    <w:p w:rsidR="00912DCB" w:rsidRPr="00912DCB" w:rsidRDefault="00912DCB" w:rsidP="00912DCB">
      <w:pPr>
        <w:pStyle w:val="1"/>
        <w:widowControl/>
        <w:shd w:val="clear" w:color="auto" w:fill="FFFFFF"/>
        <w:adjustRightInd w:val="0"/>
        <w:snapToGrid w:val="0"/>
        <w:spacing w:after="200" w:line="288" w:lineRule="auto"/>
        <w:ind w:left="567" w:firstLineChars="0" w:firstLine="0"/>
        <w:rPr>
          <w:rFonts w:ascii="Times New Roman" w:hAnsi="Times New Roman"/>
          <w:color w:val="333333"/>
          <w:kern w:val="0"/>
          <w:sz w:val="24"/>
          <w:szCs w:val="24"/>
        </w:rPr>
      </w:pPr>
      <w:r w:rsidRPr="00912DCB">
        <w:rPr>
          <w:rFonts w:ascii="Times New Roman" w:hAnsi="Times New Roman"/>
          <w:color w:val="333333"/>
          <w:kern w:val="0"/>
          <w:sz w:val="24"/>
          <w:szCs w:val="24"/>
        </w:rPr>
        <w:t xml:space="preserve"> </w:t>
      </w:r>
    </w:p>
    <w:p w:rsidR="00912DCB" w:rsidRPr="00912DCB" w:rsidRDefault="00912DCB" w:rsidP="00912DCB">
      <w:pPr>
        <w:pStyle w:val="1"/>
        <w:widowControl/>
        <w:numPr>
          <w:ilvl w:val="1"/>
          <w:numId w:val="6"/>
        </w:numPr>
        <w:shd w:val="clear" w:color="auto" w:fill="FFFFFF"/>
        <w:adjustRightInd w:val="0"/>
        <w:snapToGrid w:val="0"/>
        <w:spacing w:after="200" w:line="288" w:lineRule="auto"/>
        <w:ind w:left="567" w:firstLineChars="0"/>
        <w:rPr>
          <w:rFonts w:ascii="Times New Roman" w:hAnsi="Times New Roman"/>
          <w:color w:val="333333"/>
          <w:kern w:val="0"/>
          <w:sz w:val="24"/>
          <w:szCs w:val="24"/>
        </w:rPr>
      </w:pPr>
      <w:r w:rsidRPr="00912DCB">
        <w:rPr>
          <w:rFonts w:ascii="Times New Roman" w:hAnsi="Times New Roman"/>
          <w:color w:val="333333"/>
          <w:kern w:val="0"/>
          <w:sz w:val="24"/>
          <w:szCs w:val="24"/>
        </w:rPr>
        <w:t>Physical mechanics properties</w:t>
      </w:r>
    </w:p>
    <w:tbl>
      <w:tblPr>
        <w:tblW w:w="770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2537"/>
        <w:gridCol w:w="1289"/>
        <w:gridCol w:w="1290"/>
      </w:tblGrid>
      <w:tr w:rsidR="00912DCB" w:rsidRPr="00912DCB" w:rsidTr="00912DCB">
        <w:trPr>
          <w:trHeight w:val="267"/>
        </w:trPr>
        <w:tc>
          <w:tcPr>
            <w:tcW w:w="2592" w:type="dxa"/>
            <w:vMerge w:val="restart"/>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b/>
                <w:bCs/>
                <w:color w:val="333333"/>
                <w:kern w:val="0"/>
                <w:sz w:val="24"/>
                <w:szCs w:val="24"/>
              </w:rPr>
            </w:pPr>
            <w:r w:rsidRPr="00912DCB">
              <w:rPr>
                <w:rFonts w:ascii="Times New Roman" w:eastAsia="等线" w:hAnsi="Times New Roman"/>
                <w:b/>
                <w:bCs/>
                <w:color w:val="333333"/>
                <w:kern w:val="0"/>
                <w:sz w:val="24"/>
                <w:szCs w:val="24"/>
              </w:rPr>
              <w:t>Property</w:t>
            </w:r>
          </w:p>
        </w:tc>
        <w:tc>
          <w:tcPr>
            <w:tcW w:w="2537" w:type="dxa"/>
            <w:vMerge w:val="restart"/>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b/>
                <w:bCs/>
                <w:color w:val="333333"/>
                <w:kern w:val="0"/>
                <w:sz w:val="24"/>
                <w:szCs w:val="24"/>
              </w:rPr>
            </w:pPr>
            <w:r w:rsidRPr="00912DCB">
              <w:rPr>
                <w:rFonts w:ascii="Times New Roman" w:eastAsia="等线" w:hAnsi="Times New Roman"/>
                <w:b/>
                <w:bCs/>
                <w:color w:val="333333"/>
                <w:kern w:val="0"/>
                <w:sz w:val="24"/>
                <w:szCs w:val="24"/>
              </w:rPr>
              <w:t>Unit</w:t>
            </w:r>
          </w:p>
        </w:tc>
        <w:tc>
          <w:tcPr>
            <w:tcW w:w="2579" w:type="dxa"/>
            <w:gridSpan w:val="2"/>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b/>
                <w:bCs/>
                <w:color w:val="333333"/>
                <w:kern w:val="0"/>
                <w:sz w:val="24"/>
                <w:szCs w:val="24"/>
              </w:rPr>
            </w:pPr>
            <w:r w:rsidRPr="00912DCB">
              <w:rPr>
                <w:rFonts w:ascii="Times New Roman" w:eastAsia="等线" w:hAnsi="Times New Roman"/>
                <w:b/>
                <w:bCs/>
                <w:color w:val="333333"/>
                <w:kern w:val="0"/>
                <w:sz w:val="24"/>
                <w:szCs w:val="24"/>
              </w:rPr>
              <w:t>Nominal thickness</w:t>
            </w:r>
          </w:p>
        </w:tc>
      </w:tr>
      <w:tr w:rsidR="00912DCB" w:rsidRPr="00912DCB" w:rsidTr="00912DCB">
        <w:trPr>
          <w:trHeight w:val="266"/>
        </w:trPr>
        <w:tc>
          <w:tcPr>
            <w:tcW w:w="2592" w:type="dxa"/>
            <w:vMerge/>
            <w:tcBorders>
              <w:top w:val="single" w:sz="4" w:space="0" w:color="auto"/>
              <w:left w:val="single" w:sz="4" w:space="0" w:color="auto"/>
              <w:bottom w:val="single" w:sz="4" w:space="0" w:color="auto"/>
              <w:right w:val="single" w:sz="4" w:space="0" w:color="auto"/>
            </w:tcBorders>
            <w:vAlign w:val="center"/>
            <w:hideMark/>
          </w:tcPr>
          <w:p w:rsidR="00912DCB" w:rsidRPr="00912DCB" w:rsidRDefault="00912DCB">
            <w:pPr>
              <w:jc w:val="left"/>
              <w:rPr>
                <w:rFonts w:ascii="Times New Roman" w:hAnsi="Times New Roman" w:cs="Times New Roman"/>
                <w:b/>
                <w:bCs/>
                <w:color w:val="333333"/>
                <w:sz w:val="24"/>
                <w:szCs w:val="24"/>
              </w:rPr>
            </w:pPr>
          </w:p>
        </w:tc>
        <w:tc>
          <w:tcPr>
            <w:tcW w:w="2537" w:type="dxa"/>
            <w:vMerge/>
            <w:tcBorders>
              <w:top w:val="single" w:sz="4" w:space="0" w:color="auto"/>
              <w:left w:val="nil"/>
              <w:bottom w:val="single" w:sz="4" w:space="0" w:color="auto"/>
              <w:right w:val="single" w:sz="4" w:space="0" w:color="auto"/>
            </w:tcBorders>
            <w:vAlign w:val="center"/>
            <w:hideMark/>
          </w:tcPr>
          <w:p w:rsidR="00912DCB" w:rsidRPr="00912DCB" w:rsidRDefault="00912DCB">
            <w:pPr>
              <w:jc w:val="left"/>
              <w:rPr>
                <w:rFonts w:ascii="Times New Roman" w:hAnsi="Times New Roman" w:cs="Times New Roman"/>
                <w:b/>
                <w:bCs/>
                <w:color w:val="333333"/>
                <w:sz w:val="24"/>
                <w:szCs w:val="24"/>
              </w:rPr>
            </w:pPr>
          </w:p>
        </w:tc>
        <w:tc>
          <w:tcPr>
            <w:tcW w:w="1289"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12mm</w:t>
            </w:r>
          </w:p>
        </w:tc>
        <w:tc>
          <w:tcPr>
            <w:tcW w:w="129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15mm, 18mm</w:t>
            </w:r>
          </w:p>
        </w:tc>
      </w:tr>
      <w:tr w:rsidR="00912DCB" w:rsidRPr="00912DCB" w:rsidTr="00912DCB">
        <w:tc>
          <w:tcPr>
            <w:tcW w:w="2592"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Static bending strength</w:t>
            </w:r>
          </w:p>
        </w:tc>
        <w:tc>
          <w:tcPr>
            <w:tcW w:w="2537"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MPa</w:t>
            </w:r>
          </w:p>
        </w:tc>
        <w:tc>
          <w:tcPr>
            <w:tcW w:w="1289"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≥26.0</w:t>
            </w:r>
          </w:p>
        </w:tc>
        <w:tc>
          <w:tcPr>
            <w:tcW w:w="129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≥24.0</w:t>
            </w:r>
          </w:p>
        </w:tc>
      </w:tr>
      <w:tr w:rsidR="00912DCB" w:rsidRPr="00912DCB" w:rsidTr="00912DCB">
        <w:tc>
          <w:tcPr>
            <w:tcW w:w="2592"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lastRenderedPageBreak/>
              <w:t>Elasticity modulus</w:t>
            </w:r>
          </w:p>
        </w:tc>
        <w:tc>
          <w:tcPr>
            <w:tcW w:w="2537"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MPa</w:t>
            </w:r>
          </w:p>
        </w:tc>
        <w:tc>
          <w:tcPr>
            <w:tcW w:w="1289"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≥2500</w:t>
            </w:r>
          </w:p>
        </w:tc>
        <w:tc>
          <w:tcPr>
            <w:tcW w:w="129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≥2300</w:t>
            </w:r>
          </w:p>
        </w:tc>
      </w:tr>
      <w:tr w:rsidR="00912DCB" w:rsidRPr="00912DCB" w:rsidTr="00912DCB">
        <w:tc>
          <w:tcPr>
            <w:tcW w:w="2592"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Internal bonding strength</w:t>
            </w:r>
          </w:p>
        </w:tc>
        <w:tc>
          <w:tcPr>
            <w:tcW w:w="2537"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MPa</w:t>
            </w:r>
          </w:p>
        </w:tc>
        <w:tc>
          <w:tcPr>
            <w:tcW w:w="1289"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≥0.50</w:t>
            </w:r>
          </w:p>
        </w:tc>
        <w:tc>
          <w:tcPr>
            <w:tcW w:w="129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≥0.45</w:t>
            </w:r>
          </w:p>
        </w:tc>
      </w:tr>
      <w:tr w:rsidR="00912DCB" w:rsidRPr="00912DCB" w:rsidTr="00912DCB">
        <w:tc>
          <w:tcPr>
            <w:tcW w:w="2592"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Thickness expansion rate after water absorption</w:t>
            </w:r>
          </w:p>
        </w:tc>
        <w:tc>
          <w:tcPr>
            <w:tcW w:w="2537"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w:t>
            </w:r>
          </w:p>
        </w:tc>
        <w:tc>
          <w:tcPr>
            <w:tcW w:w="1289"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≤15.0</w:t>
            </w:r>
          </w:p>
        </w:tc>
        <w:tc>
          <w:tcPr>
            <w:tcW w:w="129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≤12.0</w:t>
            </w:r>
          </w:p>
        </w:tc>
      </w:tr>
      <w:tr w:rsidR="00912DCB" w:rsidRPr="00912DCB" w:rsidTr="00912DCB">
        <w:tc>
          <w:tcPr>
            <w:tcW w:w="2592" w:type="dxa"/>
            <w:tcBorders>
              <w:top w:val="single" w:sz="4" w:space="0" w:color="auto"/>
              <w:left w:val="single" w:sz="4" w:space="0" w:color="auto"/>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Surface bonding strength</w:t>
            </w:r>
          </w:p>
        </w:tc>
        <w:tc>
          <w:tcPr>
            <w:tcW w:w="2537"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MPa</w:t>
            </w:r>
          </w:p>
        </w:tc>
        <w:tc>
          <w:tcPr>
            <w:tcW w:w="1289"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≥0.60</w:t>
            </w:r>
          </w:p>
        </w:tc>
        <w:tc>
          <w:tcPr>
            <w:tcW w:w="1290" w:type="dxa"/>
            <w:tcBorders>
              <w:top w:val="single" w:sz="4" w:space="0" w:color="auto"/>
              <w:left w:val="nil"/>
              <w:bottom w:val="single" w:sz="4" w:space="0" w:color="auto"/>
              <w:right w:val="single" w:sz="4" w:space="0" w:color="auto"/>
            </w:tcBorders>
            <w:hideMark/>
          </w:tcPr>
          <w:p w:rsidR="00912DCB" w:rsidRPr="00912DCB" w:rsidRDefault="00912DCB">
            <w:pPr>
              <w:pStyle w:val="1"/>
              <w:widowControl/>
              <w:snapToGrid w:val="0"/>
              <w:spacing w:after="200" w:line="288" w:lineRule="auto"/>
              <w:ind w:firstLineChars="0" w:firstLine="0"/>
              <w:jc w:val="center"/>
              <w:rPr>
                <w:rFonts w:ascii="Times New Roman" w:hAnsi="Times New Roman"/>
                <w:color w:val="333333"/>
                <w:kern w:val="0"/>
                <w:sz w:val="24"/>
                <w:szCs w:val="24"/>
              </w:rPr>
            </w:pPr>
            <w:r w:rsidRPr="00912DCB">
              <w:rPr>
                <w:rFonts w:ascii="Times New Roman" w:eastAsia="等线" w:hAnsi="Times New Roman"/>
                <w:color w:val="333333"/>
                <w:kern w:val="0"/>
                <w:sz w:val="24"/>
                <w:szCs w:val="24"/>
              </w:rPr>
              <w:t>≥0.90</w:t>
            </w:r>
          </w:p>
        </w:tc>
      </w:tr>
    </w:tbl>
    <w:p w:rsidR="00912DCB" w:rsidRPr="00912DCB" w:rsidRDefault="00912DCB" w:rsidP="00912DCB">
      <w:pPr>
        <w:pStyle w:val="1"/>
        <w:widowControl/>
        <w:shd w:val="clear" w:color="auto" w:fill="FFFFFF"/>
        <w:adjustRightInd w:val="0"/>
        <w:snapToGrid w:val="0"/>
        <w:spacing w:after="200" w:line="288" w:lineRule="auto"/>
        <w:ind w:left="567" w:firstLineChars="0" w:firstLine="0"/>
        <w:rPr>
          <w:rFonts w:ascii="Times New Roman" w:hAnsi="Times New Roman"/>
          <w:color w:val="333333"/>
          <w:kern w:val="0"/>
          <w:sz w:val="24"/>
          <w:szCs w:val="24"/>
        </w:rPr>
      </w:pPr>
      <w:r w:rsidRPr="00912DCB">
        <w:rPr>
          <w:rFonts w:ascii="Times New Roman" w:hAnsi="Times New Roman"/>
          <w:color w:val="333333"/>
          <w:kern w:val="0"/>
          <w:sz w:val="24"/>
          <w:szCs w:val="24"/>
        </w:rPr>
        <w:t xml:space="preserve"> </w:t>
      </w:r>
    </w:p>
    <w:p w:rsidR="00912DCB" w:rsidRPr="00912DCB" w:rsidRDefault="00912DCB" w:rsidP="00912DCB">
      <w:pPr>
        <w:pStyle w:val="1"/>
        <w:widowControl/>
        <w:numPr>
          <w:ilvl w:val="1"/>
          <w:numId w:val="6"/>
        </w:numPr>
        <w:shd w:val="clear" w:color="auto" w:fill="FFFFFF"/>
        <w:adjustRightInd w:val="0"/>
        <w:snapToGrid w:val="0"/>
        <w:spacing w:after="200" w:line="288" w:lineRule="auto"/>
        <w:ind w:left="567" w:firstLineChars="0"/>
        <w:rPr>
          <w:rFonts w:ascii="Times New Roman" w:hAnsi="Times New Roman"/>
          <w:color w:val="333333"/>
          <w:kern w:val="0"/>
          <w:sz w:val="24"/>
          <w:szCs w:val="24"/>
        </w:rPr>
      </w:pPr>
      <w:r w:rsidRPr="00912DCB">
        <w:rPr>
          <w:rFonts w:ascii="Times New Roman" w:hAnsi="Times New Roman"/>
          <w:color w:val="333333"/>
          <w:kern w:val="0"/>
          <w:sz w:val="24"/>
          <w:szCs w:val="24"/>
        </w:rPr>
        <w:t>Amount of formaldehyde emission</w:t>
      </w:r>
    </w:p>
    <w:p w:rsidR="00912DCB" w:rsidRPr="00912DCB" w:rsidRDefault="00912DCB" w:rsidP="00912DCB">
      <w:pPr>
        <w:pStyle w:val="1"/>
        <w:widowControl/>
        <w:shd w:val="clear" w:color="auto" w:fill="FFFFFF"/>
        <w:adjustRightInd w:val="0"/>
        <w:snapToGrid w:val="0"/>
        <w:spacing w:after="200" w:line="288" w:lineRule="auto"/>
        <w:ind w:left="567" w:firstLineChars="0" w:firstLine="0"/>
        <w:rPr>
          <w:rFonts w:ascii="Times New Roman" w:hAnsi="Times New Roman"/>
          <w:color w:val="333333"/>
          <w:kern w:val="0"/>
          <w:sz w:val="24"/>
          <w:szCs w:val="24"/>
        </w:rPr>
      </w:pPr>
      <w:r w:rsidRPr="00912DCB">
        <w:rPr>
          <w:rFonts w:ascii="Times New Roman" w:hAnsi="Times New Roman"/>
          <w:color w:val="333333"/>
          <w:kern w:val="0"/>
          <w:sz w:val="24"/>
          <w:szCs w:val="24"/>
        </w:rPr>
        <w:t xml:space="preserve">The amount of formaldehyde emission shall be subject to </w:t>
      </w:r>
      <w:r w:rsidRPr="00912DCB">
        <w:rPr>
          <w:rFonts w:ascii="Times New Roman" w:hAnsi="Times New Roman"/>
          <w:i/>
          <w:iCs/>
          <w:color w:val="333333"/>
          <w:kern w:val="0"/>
          <w:sz w:val="24"/>
          <w:szCs w:val="24"/>
        </w:rPr>
        <w:t>GB 18580-2017.</w:t>
      </w:r>
    </w:p>
    <w:p w:rsidR="00912DCB" w:rsidRPr="00912DCB" w:rsidRDefault="00912DCB" w:rsidP="00912DCB">
      <w:pPr>
        <w:pStyle w:val="1"/>
        <w:widowControl/>
        <w:numPr>
          <w:ilvl w:val="0"/>
          <w:numId w:val="5"/>
        </w:numPr>
        <w:shd w:val="clear" w:color="auto" w:fill="FFFFFF"/>
        <w:adjustRightInd w:val="0"/>
        <w:snapToGrid w:val="0"/>
        <w:spacing w:after="200" w:line="288" w:lineRule="auto"/>
        <w:ind w:left="567" w:firstLineChars="0" w:hanging="567"/>
        <w:rPr>
          <w:rFonts w:ascii="Times New Roman" w:hAnsi="Times New Roman"/>
          <w:b/>
          <w:bCs/>
          <w:color w:val="333333"/>
          <w:kern w:val="0"/>
          <w:sz w:val="24"/>
          <w:szCs w:val="24"/>
        </w:rPr>
      </w:pPr>
      <w:r w:rsidRPr="00912DCB">
        <w:rPr>
          <w:rFonts w:ascii="Times New Roman" w:hAnsi="Times New Roman"/>
          <w:b/>
          <w:bCs/>
          <w:color w:val="333333"/>
          <w:kern w:val="0"/>
          <w:sz w:val="24"/>
          <w:szCs w:val="24"/>
        </w:rPr>
        <w:t xml:space="preserve">Sampling, measurement, testing and determination work shall be subject to the requirements in </w:t>
      </w:r>
      <w:r w:rsidRPr="00912DCB">
        <w:rPr>
          <w:rFonts w:ascii="Times New Roman" w:hAnsi="Times New Roman"/>
          <w:b/>
          <w:bCs/>
          <w:i/>
          <w:iCs/>
          <w:color w:val="333333"/>
          <w:kern w:val="0"/>
          <w:sz w:val="24"/>
          <w:szCs w:val="24"/>
        </w:rPr>
        <w:t xml:space="preserve">GB/T 11718-2009 </w:t>
      </w:r>
      <w:r w:rsidRPr="00912DCB">
        <w:rPr>
          <w:rFonts w:ascii="Times New Roman" w:hAnsi="Times New Roman"/>
          <w:b/>
          <w:bCs/>
          <w:color w:val="333333"/>
          <w:kern w:val="0"/>
          <w:sz w:val="24"/>
          <w:szCs w:val="24"/>
        </w:rPr>
        <w:t xml:space="preserve">and </w:t>
      </w:r>
      <w:r w:rsidRPr="00912DCB">
        <w:rPr>
          <w:rFonts w:ascii="Times New Roman" w:hAnsi="Times New Roman"/>
          <w:b/>
          <w:bCs/>
          <w:i/>
          <w:iCs/>
          <w:color w:val="333333"/>
          <w:kern w:val="0"/>
          <w:sz w:val="24"/>
          <w:szCs w:val="24"/>
        </w:rPr>
        <w:t>GB 18580-2017</w:t>
      </w:r>
      <w:r w:rsidRPr="00912DCB">
        <w:rPr>
          <w:rFonts w:ascii="Times New Roman" w:hAnsi="Times New Roman"/>
          <w:b/>
          <w:bCs/>
          <w:color w:val="333333"/>
          <w:kern w:val="0"/>
          <w:sz w:val="24"/>
          <w:szCs w:val="24"/>
        </w:rPr>
        <w:t>, while sampling of physicochemical properties shall be subject to the quality supervision standards of products that have passed quality check.</w:t>
      </w:r>
    </w:p>
    <w:p w:rsidR="00912DCB" w:rsidRPr="00912DCB" w:rsidRDefault="00912DCB" w:rsidP="00912DCB">
      <w:pPr>
        <w:pStyle w:val="1"/>
        <w:widowControl/>
        <w:numPr>
          <w:ilvl w:val="0"/>
          <w:numId w:val="5"/>
        </w:numPr>
        <w:shd w:val="clear" w:color="auto" w:fill="FFFFFF"/>
        <w:snapToGrid w:val="0"/>
        <w:spacing w:after="200" w:line="288" w:lineRule="auto"/>
        <w:ind w:left="567" w:firstLineChars="0" w:hanging="567"/>
        <w:rPr>
          <w:rFonts w:ascii="Times New Roman" w:hAnsi="Times New Roman"/>
          <w:b/>
          <w:bCs/>
          <w:color w:val="333333"/>
          <w:kern w:val="0"/>
          <w:sz w:val="24"/>
          <w:szCs w:val="24"/>
        </w:rPr>
      </w:pPr>
      <w:r w:rsidRPr="00912DCB">
        <w:rPr>
          <w:rFonts w:ascii="Times New Roman" w:hAnsi="Times New Roman"/>
          <w:b/>
          <w:bCs/>
          <w:color w:val="333333"/>
          <w:kern w:val="0"/>
          <w:sz w:val="24"/>
          <w:szCs w:val="24"/>
        </w:rPr>
        <w:t xml:space="preserve">Marking, packaging, transportation and storage shall be subject to the standards in </w:t>
      </w:r>
      <w:r w:rsidRPr="00912DCB">
        <w:rPr>
          <w:rFonts w:ascii="Times New Roman" w:hAnsi="Times New Roman"/>
          <w:b/>
          <w:bCs/>
          <w:i/>
          <w:iCs/>
          <w:color w:val="333333"/>
          <w:kern w:val="0"/>
          <w:sz w:val="24"/>
          <w:szCs w:val="24"/>
        </w:rPr>
        <w:t>GB/T11718-2009</w:t>
      </w:r>
      <w:r w:rsidRPr="00912DCB">
        <w:rPr>
          <w:rFonts w:ascii="Times New Roman" w:hAnsi="Times New Roman"/>
          <w:b/>
          <w:bCs/>
          <w:color w:val="333333"/>
          <w:kern w:val="0"/>
          <w:sz w:val="24"/>
          <w:szCs w:val="24"/>
        </w:rPr>
        <w:t>.</w:t>
      </w:r>
    </w:p>
    <w:p w:rsidR="00912DCB" w:rsidRPr="00912DCB" w:rsidRDefault="00912DCB" w:rsidP="00912DCB">
      <w:pPr>
        <w:pStyle w:val="1"/>
        <w:widowControl/>
        <w:numPr>
          <w:ilvl w:val="0"/>
          <w:numId w:val="5"/>
        </w:numPr>
        <w:shd w:val="clear" w:color="auto" w:fill="FFFFFF"/>
        <w:snapToGrid w:val="0"/>
        <w:spacing w:after="200" w:line="288" w:lineRule="auto"/>
        <w:ind w:left="567" w:firstLineChars="0" w:hanging="567"/>
        <w:rPr>
          <w:rFonts w:ascii="Times New Roman" w:hAnsi="Times New Roman"/>
          <w:b/>
          <w:bCs/>
          <w:color w:val="333333"/>
          <w:kern w:val="0"/>
          <w:sz w:val="24"/>
          <w:szCs w:val="24"/>
        </w:rPr>
      </w:pPr>
      <w:r w:rsidRPr="00912DCB">
        <w:rPr>
          <w:rFonts w:ascii="Times New Roman" w:hAnsi="Times New Roman"/>
          <w:b/>
          <w:bCs/>
          <w:color w:val="333333"/>
          <w:kern w:val="0"/>
          <w:sz w:val="24"/>
          <w:szCs w:val="24"/>
        </w:rPr>
        <w:t>Additional note</w:t>
      </w:r>
    </w:p>
    <w:p w:rsidR="00912DCB" w:rsidRPr="00912DCB" w:rsidRDefault="00912DCB" w:rsidP="00912DCB">
      <w:pPr>
        <w:pStyle w:val="1"/>
        <w:widowControl/>
        <w:shd w:val="clear" w:color="auto" w:fill="FFFFFF"/>
        <w:snapToGrid w:val="0"/>
        <w:spacing w:after="200" w:line="288" w:lineRule="auto"/>
        <w:ind w:left="567" w:firstLineChars="0" w:firstLine="0"/>
        <w:rPr>
          <w:rFonts w:ascii="Times New Roman" w:hAnsi="Times New Roman"/>
          <w:color w:val="333333"/>
          <w:kern w:val="0"/>
          <w:sz w:val="24"/>
          <w:szCs w:val="24"/>
        </w:rPr>
      </w:pPr>
      <w:r w:rsidRPr="00912DCB">
        <w:rPr>
          <w:rFonts w:ascii="Times New Roman" w:hAnsi="Times New Roman"/>
          <w:color w:val="333333"/>
          <w:kern w:val="0"/>
          <w:sz w:val="24"/>
          <w:szCs w:val="24"/>
        </w:rPr>
        <w:t>The Standard shall be subject to the interpretation of DCE.</w:t>
      </w:r>
    </w:p>
    <w:p w:rsidR="00912DCB" w:rsidRPr="00912DCB" w:rsidRDefault="00912DCB" w:rsidP="00912DCB">
      <w:pPr>
        <w:spacing w:after="200" w:line="288" w:lineRule="auto"/>
        <w:rPr>
          <w:rFonts w:ascii="Times New Roman" w:hAnsi="Times New Roman" w:cs="Times New Roman"/>
          <w:b/>
          <w:bCs/>
          <w:kern w:val="2"/>
          <w:sz w:val="24"/>
          <w:szCs w:val="24"/>
        </w:rPr>
      </w:pPr>
      <w:r w:rsidRPr="00912DCB">
        <w:rPr>
          <w:rFonts w:ascii="Times New Roman" w:hAnsi="Times New Roman" w:cs="Times New Roman"/>
          <w:b/>
          <w:bCs/>
          <w:sz w:val="24"/>
          <w:szCs w:val="24"/>
        </w:rPr>
        <w:t xml:space="preserve"> </w:t>
      </w:r>
    </w:p>
    <w:p w:rsidR="00912DCB" w:rsidRPr="00912DCB" w:rsidRDefault="00912DCB" w:rsidP="00912DCB">
      <w:pPr>
        <w:rPr>
          <w:rFonts w:ascii="Times New Roman" w:hAnsi="Times New Roman" w:cs="Times New Roman"/>
          <w:b/>
          <w:bCs/>
          <w:sz w:val="24"/>
          <w:szCs w:val="24"/>
        </w:rPr>
      </w:pPr>
      <w:r w:rsidRPr="00912DCB">
        <w:rPr>
          <w:rFonts w:ascii="Times New Roman" w:hAnsi="Times New Roman" w:cs="Times New Roman"/>
          <w:b/>
          <w:bCs/>
          <w:sz w:val="24"/>
          <w:szCs w:val="24"/>
        </w:rPr>
        <w:t>Annex 2:  List of Delivery Warehouses Designated for Fiberboard of Dalian Commodity Exchange.</w:t>
      </w:r>
    </w:p>
    <w:p w:rsidR="002C409B" w:rsidRPr="00125CBC" w:rsidRDefault="002C409B" w:rsidP="002C409B">
      <w:pPr>
        <w:jc w:val="left"/>
        <w:rPr>
          <w:rFonts w:ascii="Times New Roman" w:hAnsi="Times New Roman" w:cs="Times New Roman"/>
          <w:color w:val="333333"/>
          <w:sz w:val="24"/>
          <w:szCs w:val="24"/>
        </w:rPr>
      </w:pPr>
      <w:r w:rsidRPr="00125CBC">
        <w:rPr>
          <w:rFonts w:ascii="Times New Roman" w:hAnsi="Times New Roman" w:cs="Times New Roman"/>
          <w:color w:val="333333"/>
          <w:sz w:val="24"/>
          <w:szCs w:val="24"/>
        </w:rPr>
        <w:t>（</w:t>
      </w:r>
      <w:r w:rsidRPr="00125CBC">
        <w:rPr>
          <w:rFonts w:ascii="Times New Roman" w:hAnsi="Times New Roman" w:cs="Times New Roman"/>
          <w:sz w:val="24"/>
          <w:szCs w:val="24"/>
        </w:rPr>
        <w:t>http://www.dce.com.cn/dalianshangpin/ywfw/ywzy/nypjgywzy/index.html</w:t>
      </w:r>
      <w:r w:rsidRPr="00125CBC">
        <w:rPr>
          <w:rFonts w:ascii="Times New Roman" w:hAnsi="Times New Roman" w:cs="Times New Roman"/>
          <w:color w:val="333333"/>
          <w:sz w:val="24"/>
          <w:szCs w:val="24"/>
        </w:rPr>
        <w:t>）</w:t>
      </w:r>
    </w:p>
    <w:p w:rsidR="00912DCB" w:rsidRPr="00912DCB" w:rsidRDefault="00912DCB" w:rsidP="00912DCB">
      <w:pPr>
        <w:rPr>
          <w:rFonts w:ascii="Times New Roman" w:hAnsi="Times New Roman" w:cs="Times New Roman"/>
          <w:kern w:val="2"/>
        </w:rPr>
      </w:pPr>
      <w:bookmarkStart w:id="0" w:name="_GoBack"/>
      <w:bookmarkEnd w:id="0"/>
      <w:r w:rsidRPr="00912DCB">
        <w:rPr>
          <w:rFonts w:ascii="Times New Roman" w:hAnsi="Times New Roman" w:cs="Times New Roman"/>
        </w:rPr>
        <w:t xml:space="preserve"> </w:t>
      </w:r>
    </w:p>
    <w:p w:rsidR="002757CE" w:rsidRPr="00912DCB" w:rsidRDefault="002757CE" w:rsidP="001B0DD5">
      <w:pPr>
        <w:adjustRightInd w:val="0"/>
        <w:snapToGrid w:val="0"/>
        <w:spacing w:before="200" w:line="288" w:lineRule="auto"/>
        <w:jc w:val="left"/>
        <w:rPr>
          <w:rFonts w:ascii="Times New Roman" w:hAnsi="Times New Roman" w:cs="Times New Roman"/>
          <w:b/>
          <w:sz w:val="24"/>
          <w:szCs w:val="24"/>
        </w:rPr>
      </w:pPr>
    </w:p>
    <w:sectPr w:rsidR="002757CE" w:rsidRPr="00912D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DCB" w:rsidRDefault="00912DCB" w:rsidP="00912DCB">
      <w:r>
        <w:separator/>
      </w:r>
    </w:p>
  </w:endnote>
  <w:endnote w:type="continuationSeparator" w:id="0">
    <w:p w:rsidR="00912DCB" w:rsidRDefault="00912DCB" w:rsidP="0091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DCB" w:rsidRDefault="00912DCB" w:rsidP="00912DCB">
      <w:r>
        <w:separator/>
      </w:r>
    </w:p>
  </w:footnote>
  <w:footnote w:type="continuationSeparator" w:id="0">
    <w:p w:rsidR="00912DCB" w:rsidRDefault="00912DCB" w:rsidP="0091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14A"/>
    <w:multiLevelType w:val="multilevel"/>
    <w:tmpl w:val="07DE014A"/>
    <w:lvl w:ilvl="0">
      <w:start w:val="1"/>
      <w:numFmt w:val="decimal"/>
      <w:lvlText w:val="(%1)"/>
      <w:lvlJc w:val="left"/>
      <w:pPr>
        <w:ind w:left="1630" w:hanging="37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 w15:restartNumberingAfterBreak="0">
    <w:nsid w:val="1ABC6585"/>
    <w:multiLevelType w:val="multilevel"/>
    <w:tmpl w:val="FC7A610C"/>
    <w:lvl w:ilvl="0">
      <w:start w:val="1"/>
      <w:numFmt w:val="decimal"/>
      <w:lvlText w:val="%1"/>
      <w:lvlJc w:val="left"/>
      <w:pPr>
        <w:ind w:left="425" w:hanging="425"/>
      </w:pPr>
      <w:rPr>
        <w:rFonts w:ascii="Times New Roman" w:hAnsi="Times New Roman" w:cs="Times New Roman" w:hint="default"/>
        <w:b/>
        <w:bCs/>
      </w:rPr>
    </w:lvl>
    <w:lvl w:ilvl="1">
      <w:start w:val="1"/>
      <w:numFmt w:val="decimal"/>
      <w:lvlText w:val="%1.%2"/>
      <w:lvlJc w:val="left"/>
      <w:pPr>
        <w:ind w:left="992" w:hanging="567"/>
      </w:pPr>
      <w:rPr>
        <w:rFonts w:ascii="Times New Roman" w:hAnsi="Times New Roman" w:cs="Times New Roman" w:hint="default"/>
      </w:r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ascii="Times New Roman" w:hAnsi="Times New Roman" w:cs="Times New Roman" w:hint="default"/>
      </w:rPr>
    </w:lvl>
    <w:lvl w:ilvl="7">
      <w:start w:val="1"/>
      <w:numFmt w:val="decimal"/>
      <w:lvlText w:val="%1.%2.%3.%4.%5.%6.%7.%8"/>
      <w:lvlJc w:val="left"/>
      <w:pPr>
        <w:ind w:left="4394" w:hanging="1418"/>
      </w:pPr>
      <w:rPr>
        <w:rFonts w:ascii="Times New Roman" w:hAnsi="Times New Roman" w:cs="Times New Roman" w:hint="default"/>
      </w:rPr>
    </w:lvl>
    <w:lvl w:ilvl="8">
      <w:start w:val="1"/>
      <w:numFmt w:val="decimal"/>
      <w:lvlText w:val="%1.%2.%3.%4.%5.%6.%7.%8.%9"/>
      <w:lvlJc w:val="left"/>
      <w:pPr>
        <w:ind w:left="5102" w:hanging="1700"/>
      </w:pPr>
      <w:rPr>
        <w:rFonts w:ascii="Times New Roman" w:hAnsi="Times New Roman" w:cs="Times New Roman" w:hint="default"/>
      </w:rPr>
    </w:lvl>
  </w:abstractNum>
  <w:abstractNum w:abstractNumId="2" w15:restartNumberingAfterBreak="0">
    <w:nsid w:val="28AD335A"/>
    <w:multiLevelType w:val="multilevel"/>
    <w:tmpl w:val="28AD335A"/>
    <w:lvl w:ilvl="0">
      <w:start w:val="1"/>
      <w:numFmt w:val="decimal"/>
      <w:lvlText w:val="(%1)"/>
      <w:lvlJc w:val="left"/>
      <w:pPr>
        <w:ind w:left="1629" w:hanging="370"/>
      </w:pPr>
      <w:rPr>
        <w:rFonts w:hint="default"/>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3" w15:restartNumberingAfterBreak="0">
    <w:nsid w:val="3C530B92"/>
    <w:multiLevelType w:val="multilevel"/>
    <w:tmpl w:val="0409001D"/>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992" w:hanging="567"/>
      </w:pPr>
      <w:rPr>
        <w:rFonts w:ascii="Times New Roman" w:hAnsi="Times New Roman" w:cs="Times New Roman" w:hint="default"/>
      </w:r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ascii="Times New Roman" w:hAnsi="Times New Roman" w:cs="Times New Roman" w:hint="default"/>
      </w:rPr>
    </w:lvl>
    <w:lvl w:ilvl="7">
      <w:start w:val="1"/>
      <w:numFmt w:val="decimal"/>
      <w:lvlText w:val="%1.%2.%3.%4.%5.%6.%7.%8"/>
      <w:lvlJc w:val="left"/>
      <w:pPr>
        <w:ind w:left="4394" w:hanging="1418"/>
      </w:pPr>
      <w:rPr>
        <w:rFonts w:ascii="Times New Roman" w:hAnsi="Times New Roman" w:cs="Times New Roman" w:hint="default"/>
      </w:rPr>
    </w:lvl>
    <w:lvl w:ilvl="8">
      <w:start w:val="1"/>
      <w:numFmt w:val="decimal"/>
      <w:lvlText w:val="%1.%2.%3.%4.%5.%6.%7.%8.%9"/>
      <w:lvlJc w:val="left"/>
      <w:pPr>
        <w:ind w:left="5102" w:hanging="1700"/>
      </w:pPr>
      <w:rPr>
        <w:rFonts w:ascii="Times New Roman" w:hAnsi="Times New Roman" w:cs="Times New Roman" w:hint="default"/>
      </w:rPr>
    </w:lvl>
  </w:abstractNum>
  <w:abstractNum w:abstractNumId="4" w15:restartNumberingAfterBreak="0">
    <w:nsid w:val="7B455A13"/>
    <w:multiLevelType w:val="multilevel"/>
    <w:tmpl w:val="7B455A13"/>
    <w:lvl w:ilvl="0">
      <w:start w:val="1"/>
      <w:numFmt w:val="decimal"/>
      <w:lvlText w:val="Article %1"/>
      <w:lvlJc w:val="left"/>
      <w:pPr>
        <w:ind w:left="420" w:hanging="420"/>
      </w:pPr>
      <w:rPr>
        <w:rFonts w:hint="eastAsia"/>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B8E5838"/>
    <w:multiLevelType w:val="multilevel"/>
    <w:tmpl w:val="7B8E5838"/>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abstractNumId w:val="4"/>
  </w:num>
  <w:num w:numId="2">
    <w:abstractNumId w:val="5"/>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D5"/>
    <w:rsid w:val="001203E3"/>
    <w:rsid w:val="001B0DD5"/>
    <w:rsid w:val="002757CE"/>
    <w:rsid w:val="002C409B"/>
    <w:rsid w:val="00912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47E770D-1395-4EEF-9EB5-7DC70917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DD5"/>
    <w:pPr>
      <w:jc w:val="both"/>
    </w:pPr>
    <w:rPr>
      <w:rFonts w:ascii="Calibri" w:eastAsia="宋体" w:hAnsi="Calibri" w:cs="Calibri"/>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D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2DCB"/>
    <w:rPr>
      <w:rFonts w:ascii="Calibri" w:eastAsia="宋体" w:hAnsi="Calibri" w:cs="Calibri"/>
      <w:kern w:val="0"/>
      <w:sz w:val="18"/>
      <w:szCs w:val="18"/>
    </w:rPr>
  </w:style>
  <w:style w:type="paragraph" w:styleId="a5">
    <w:name w:val="footer"/>
    <w:basedOn w:val="a"/>
    <w:link w:val="a6"/>
    <w:uiPriority w:val="99"/>
    <w:unhideWhenUsed/>
    <w:rsid w:val="00912DCB"/>
    <w:pPr>
      <w:tabs>
        <w:tab w:val="center" w:pos="4153"/>
        <w:tab w:val="right" w:pos="8306"/>
      </w:tabs>
      <w:snapToGrid w:val="0"/>
      <w:jc w:val="left"/>
    </w:pPr>
    <w:rPr>
      <w:sz w:val="18"/>
      <w:szCs w:val="18"/>
    </w:rPr>
  </w:style>
  <w:style w:type="character" w:customStyle="1" w:styleId="a6">
    <w:name w:val="页脚 字符"/>
    <w:basedOn w:val="a0"/>
    <w:link w:val="a5"/>
    <w:uiPriority w:val="99"/>
    <w:rsid w:val="00912DCB"/>
    <w:rPr>
      <w:rFonts w:ascii="Calibri" w:eastAsia="宋体" w:hAnsi="Calibri" w:cs="Calibri"/>
      <w:kern w:val="0"/>
      <w:sz w:val="18"/>
      <w:szCs w:val="18"/>
    </w:rPr>
  </w:style>
  <w:style w:type="paragraph" w:customStyle="1" w:styleId="1">
    <w:name w:val="列表段落1"/>
    <w:basedOn w:val="a"/>
    <w:rsid w:val="00912DCB"/>
    <w:pPr>
      <w:widowControl w:val="0"/>
      <w:ind w:firstLineChars="200" w:firstLine="420"/>
    </w:pPr>
    <w:rPr>
      <w:rFonts w:cs="Times New Roman"/>
      <w:kern w:val="2"/>
    </w:rPr>
  </w:style>
  <w:style w:type="character" w:customStyle="1" w:styleId="15">
    <w:name w:val="15"/>
    <w:basedOn w:val="a0"/>
    <w:rsid w:val="00912DCB"/>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00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4001</Words>
  <Characters>22806</Characters>
  <Application>Microsoft Office Word</Application>
  <DocSecurity>0</DocSecurity>
  <Lines>190</Lines>
  <Paragraphs>53</Paragraphs>
  <ScaleCrop>false</ScaleCrop>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唐朝霞</dc:creator>
  <cp:keywords/>
  <dc:description/>
  <cp:lastModifiedBy>唐朝霞</cp:lastModifiedBy>
  <cp:revision>3</cp:revision>
  <dcterms:created xsi:type="dcterms:W3CDTF">2022-04-27T06:32:00Z</dcterms:created>
  <dcterms:modified xsi:type="dcterms:W3CDTF">2022-04-27T07:09:00Z</dcterms:modified>
</cp:coreProperties>
</file>